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C9C" w:rsidRPr="00894C9C" w:rsidRDefault="00894C9C" w:rsidP="00894C9C">
      <w:pPr>
        <w:spacing w:after="0" w:line="360" w:lineRule="auto"/>
        <w:jc w:val="both"/>
        <w:rPr>
          <w:rFonts w:ascii="Palatino Linotype" w:hAnsi="Palatino Linotype" w:cs="Tahoma"/>
          <w:b/>
          <w:sz w:val="14"/>
          <w:szCs w:val="14"/>
        </w:rPr>
      </w:pPr>
      <w:bookmarkStart w:id="0" w:name="_GoBack"/>
      <w:bookmarkEnd w:id="0"/>
    </w:p>
    <w:p w:rsidR="00553ADE" w:rsidRPr="00AE7573" w:rsidRDefault="00553ADE" w:rsidP="00894C9C">
      <w:pPr>
        <w:spacing w:after="0" w:line="360" w:lineRule="auto"/>
        <w:jc w:val="both"/>
        <w:rPr>
          <w:rFonts w:ascii="Palatino Linotype" w:hAnsi="Palatino Linotype" w:cs="Tahoma"/>
          <w:b/>
        </w:rPr>
      </w:pPr>
      <w:r w:rsidRPr="00AE7573">
        <w:rPr>
          <w:rFonts w:ascii="Palatino Linotype" w:hAnsi="Palatino Linotype" w:cs="Tahoma"/>
          <w:b/>
        </w:rPr>
        <w:t xml:space="preserve">VOTO PARTICULAR QUE FORMULA EL COMISIONADO LUIS GUSTAVO PARRA NORIEGA, EN RELACIÓN CON LA </w:t>
      </w:r>
      <w:r w:rsidR="0093196F" w:rsidRPr="00AE7573">
        <w:rPr>
          <w:rFonts w:ascii="Palatino Linotype" w:hAnsi="Palatino Linotype" w:cs="Tahoma"/>
          <w:b/>
        </w:rPr>
        <w:t xml:space="preserve">RESOLUCIÓN DEL RECURSO DE REVISIÓN </w:t>
      </w:r>
      <w:r w:rsidR="00424CE5" w:rsidRPr="00AE7573">
        <w:rPr>
          <w:rFonts w:ascii="Palatino Linotype" w:hAnsi="Palatino Linotype" w:cs="Tahoma"/>
          <w:b/>
          <w:lang w:val="es-ES_tradnl"/>
        </w:rPr>
        <w:t xml:space="preserve">03429/INFOEM/IP/RR/2018 </w:t>
      </w:r>
      <w:r w:rsidR="0093196F" w:rsidRPr="00AE7573">
        <w:rPr>
          <w:rFonts w:ascii="Palatino Linotype" w:hAnsi="Palatino Linotype" w:cs="Tahoma"/>
          <w:b/>
        </w:rPr>
        <w:t xml:space="preserve">PROMOVIDO </w:t>
      </w:r>
      <w:r w:rsidRPr="00AE7573">
        <w:rPr>
          <w:rFonts w:ascii="Palatino Linotype" w:hAnsi="Palatino Linotype" w:cs="Tahoma"/>
          <w:b/>
        </w:rPr>
        <w:t xml:space="preserve">EN CONTRA </w:t>
      </w:r>
      <w:r w:rsidR="00424CE5" w:rsidRPr="00AE7573">
        <w:rPr>
          <w:rFonts w:ascii="Palatino Linotype" w:hAnsi="Palatino Linotype" w:cs="Tahoma"/>
          <w:b/>
        </w:rPr>
        <w:t xml:space="preserve">DE LA </w:t>
      </w:r>
      <w:r w:rsidR="00424CE5" w:rsidRPr="00AE7573">
        <w:rPr>
          <w:rFonts w:ascii="Palatino Linotype" w:hAnsi="Palatino Linotype" w:cs="Tahoma"/>
          <w:b/>
          <w:bCs/>
          <w:lang w:val="es-ES_tradnl"/>
        </w:rPr>
        <w:t>COMISIÓN DEL AGUA DEL ESTADO DE MÉXICO</w:t>
      </w:r>
      <w:r w:rsidRPr="00AE7573">
        <w:rPr>
          <w:rFonts w:ascii="Palatino Linotype" w:hAnsi="Palatino Linotype" w:cs="Tahoma"/>
          <w:b/>
        </w:rPr>
        <w:t>.</w:t>
      </w:r>
    </w:p>
    <w:p w:rsidR="00553ADE" w:rsidRPr="00AE7573" w:rsidRDefault="00553ADE" w:rsidP="00894C9C">
      <w:pPr>
        <w:spacing w:after="0" w:line="360" w:lineRule="auto"/>
        <w:jc w:val="both"/>
        <w:rPr>
          <w:rFonts w:ascii="Palatino Linotype" w:hAnsi="Palatino Linotype" w:cs="Tahoma"/>
        </w:rPr>
      </w:pPr>
    </w:p>
    <w:p w:rsidR="00553ADE" w:rsidRPr="00AE7573" w:rsidRDefault="00553ADE" w:rsidP="00894C9C">
      <w:pPr>
        <w:spacing w:after="0" w:line="360" w:lineRule="auto"/>
        <w:jc w:val="both"/>
        <w:rPr>
          <w:rFonts w:ascii="Palatino Linotype" w:hAnsi="Palatino Linotype" w:cs="Tahoma"/>
        </w:rPr>
      </w:pPr>
      <w:r w:rsidRPr="00AE7573">
        <w:rPr>
          <w:rFonts w:ascii="Palatino Linotype" w:hAnsi="Palatino Linotype" w:cs="Tahoma"/>
        </w:rPr>
        <w:t xml:space="preserve">En términos de lo dispuesto por el artículo </w:t>
      </w:r>
      <w:r w:rsidR="00927BD1" w:rsidRPr="00AE7573">
        <w:rPr>
          <w:rFonts w:ascii="Palatino Linotype" w:hAnsi="Palatino Linotype" w:cs="Tahoma"/>
        </w:rPr>
        <w:t xml:space="preserve">189, párrafo primero, de la Ley de Transparencia y Acceso a la Información Pública del Estado de México y Municipios; </w:t>
      </w:r>
      <w:r w:rsidRPr="00AE7573">
        <w:rPr>
          <w:rFonts w:ascii="Palatino Linotype" w:hAnsi="Palatino Linotype" w:cs="Tahoma"/>
        </w:rPr>
        <w:t xml:space="preserve">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00584D73" w:rsidRPr="00AE7573">
        <w:rPr>
          <w:rFonts w:ascii="Palatino Linotype" w:hAnsi="Palatino Linotype" w:cs="Tahoma"/>
          <w:b/>
        </w:rPr>
        <w:t>V</w:t>
      </w:r>
      <w:r w:rsidRPr="00AE7573">
        <w:rPr>
          <w:rFonts w:ascii="Palatino Linotype" w:hAnsi="Palatino Linotype" w:cs="Tahoma"/>
          <w:b/>
        </w:rPr>
        <w:t xml:space="preserve">oto </w:t>
      </w:r>
      <w:r w:rsidR="00584D73" w:rsidRPr="00AE7573">
        <w:rPr>
          <w:rFonts w:ascii="Palatino Linotype" w:hAnsi="Palatino Linotype" w:cs="Tahoma"/>
          <w:b/>
        </w:rPr>
        <w:t>P</w:t>
      </w:r>
      <w:r w:rsidRPr="00AE7573">
        <w:rPr>
          <w:rFonts w:ascii="Palatino Linotype" w:hAnsi="Palatino Linotype" w:cs="Tahoma"/>
          <w:b/>
        </w:rPr>
        <w:t>articular</w:t>
      </w:r>
      <w:r w:rsidRPr="00AE7573">
        <w:rPr>
          <w:rFonts w:ascii="Palatino Linotype" w:hAnsi="Palatino Linotype" w:cs="Tahoma"/>
        </w:rPr>
        <w:t xml:space="preserve"> por no compartir en su totalidad las consideraciones que sustentan la </w:t>
      </w:r>
      <w:r w:rsidR="00584D73" w:rsidRPr="00AE7573">
        <w:rPr>
          <w:rFonts w:ascii="Palatino Linotype" w:hAnsi="Palatino Linotype" w:cs="Tahoma"/>
        </w:rPr>
        <w:t>R</w:t>
      </w:r>
      <w:r w:rsidRPr="00AE7573">
        <w:rPr>
          <w:rFonts w:ascii="Palatino Linotype" w:hAnsi="Palatino Linotype" w:cs="Tahoma"/>
        </w:rPr>
        <w:t xml:space="preserve">esolución del </w:t>
      </w:r>
      <w:r w:rsidR="00584D73" w:rsidRPr="00AE7573">
        <w:rPr>
          <w:rFonts w:ascii="Palatino Linotype" w:hAnsi="Palatino Linotype" w:cs="Tahoma"/>
        </w:rPr>
        <w:t>R</w:t>
      </w:r>
      <w:r w:rsidRPr="00AE7573">
        <w:rPr>
          <w:rFonts w:ascii="Palatino Linotype" w:hAnsi="Palatino Linotype" w:cs="Tahoma"/>
        </w:rPr>
        <w:t xml:space="preserve">ecurso de </w:t>
      </w:r>
      <w:r w:rsidR="00584D73" w:rsidRPr="00AE7573">
        <w:rPr>
          <w:rFonts w:ascii="Palatino Linotype" w:hAnsi="Palatino Linotype" w:cs="Tahoma"/>
        </w:rPr>
        <w:t>R</w:t>
      </w:r>
      <w:r w:rsidRPr="00AE7573">
        <w:rPr>
          <w:rFonts w:ascii="Palatino Linotype" w:hAnsi="Palatino Linotype" w:cs="Tahoma"/>
        </w:rPr>
        <w:t xml:space="preserve">evisión </w:t>
      </w:r>
      <w:r w:rsidR="0093196F" w:rsidRPr="00AE7573">
        <w:rPr>
          <w:rFonts w:ascii="Palatino Linotype" w:hAnsi="Palatino Linotype" w:cs="Tahoma"/>
        </w:rPr>
        <w:t>03429/INFOEM/IP/RR/2018</w:t>
      </w:r>
      <w:r w:rsidRPr="00AE7573">
        <w:rPr>
          <w:rFonts w:ascii="Palatino Linotype" w:hAnsi="Palatino Linotype" w:cs="Tahoma"/>
        </w:rPr>
        <w:t>.</w:t>
      </w:r>
    </w:p>
    <w:p w:rsidR="00553ADE" w:rsidRPr="00AE7573" w:rsidRDefault="00553ADE" w:rsidP="00894C9C">
      <w:pPr>
        <w:spacing w:after="0" w:line="360" w:lineRule="auto"/>
        <w:jc w:val="both"/>
        <w:rPr>
          <w:rFonts w:ascii="Palatino Linotype" w:hAnsi="Palatino Linotype" w:cs="Tahoma"/>
        </w:rPr>
      </w:pPr>
    </w:p>
    <w:p w:rsidR="007A18DC" w:rsidRPr="00AE7573" w:rsidRDefault="0037237D" w:rsidP="00894C9C">
      <w:pPr>
        <w:spacing w:after="0" w:line="360" w:lineRule="auto"/>
        <w:jc w:val="both"/>
        <w:rPr>
          <w:rFonts w:ascii="Palatino Linotype" w:hAnsi="Palatino Linotype" w:cs="Tahoma"/>
        </w:rPr>
      </w:pPr>
      <w:r w:rsidRPr="00AE7573">
        <w:rPr>
          <w:rFonts w:ascii="Palatino Linotype" w:hAnsi="Palatino Linotype" w:cs="Tahoma"/>
        </w:rPr>
        <w:t>El Recurso de Revisión que nos ocupa, der</w:t>
      </w:r>
      <w:r w:rsidR="0077488C" w:rsidRPr="00AE7573">
        <w:rPr>
          <w:rFonts w:ascii="Palatino Linotype" w:hAnsi="Palatino Linotype" w:cs="Tahoma"/>
        </w:rPr>
        <w:t>ivó de una solicitud en la que el</w:t>
      </w:r>
      <w:r w:rsidRPr="00AE7573">
        <w:rPr>
          <w:rFonts w:ascii="Palatino Linotype" w:hAnsi="Palatino Linotype" w:cs="Tahoma"/>
        </w:rPr>
        <w:t xml:space="preserve"> particular requirió </w:t>
      </w:r>
      <w:r w:rsidR="0093196F" w:rsidRPr="00AE7573">
        <w:rPr>
          <w:rFonts w:ascii="Palatino Linotype" w:hAnsi="Palatino Linotype" w:cs="Tahoma"/>
        </w:rPr>
        <w:t>a la Comisión del Agua del Estado de México</w:t>
      </w:r>
      <w:r w:rsidRPr="00AE7573">
        <w:rPr>
          <w:rFonts w:ascii="Palatino Linotype" w:hAnsi="Palatino Linotype" w:cs="Tahoma"/>
        </w:rPr>
        <w:t xml:space="preserve">, </w:t>
      </w:r>
      <w:r w:rsidR="0093196F" w:rsidRPr="00AE7573">
        <w:rPr>
          <w:rFonts w:ascii="Palatino Linotype" w:hAnsi="Palatino Linotype" w:cs="Tahoma"/>
        </w:rPr>
        <w:t>copia de todos los expedientes completos de las opiniones técnicas respecto de desarrollos o conjuntos urbanos en el municipio de Temascalapa de dos mil tres al veintisiete de agosto de dos mil dieciocho.</w:t>
      </w:r>
    </w:p>
    <w:p w:rsidR="007A18DC" w:rsidRPr="00AE7573" w:rsidRDefault="007A18DC" w:rsidP="00894C9C">
      <w:pPr>
        <w:spacing w:after="0" w:line="360" w:lineRule="auto"/>
        <w:jc w:val="both"/>
        <w:rPr>
          <w:rFonts w:ascii="Palatino Linotype" w:hAnsi="Palatino Linotype" w:cs="Tahoma"/>
        </w:rPr>
      </w:pPr>
    </w:p>
    <w:p w:rsidR="00373410" w:rsidRPr="00AE7573" w:rsidRDefault="0093196F" w:rsidP="00894C9C">
      <w:pPr>
        <w:spacing w:after="0" w:line="360" w:lineRule="auto"/>
        <w:jc w:val="both"/>
        <w:rPr>
          <w:rFonts w:ascii="Palatino Linotype" w:hAnsi="Palatino Linotype" w:cs="Tahoma"/>
        </w:rPr>
      </w:pPr>
      <w:r w:rsidRPr="00AE7573">
        <w:rPr>
          <w:rFonts w:ascii="Palatino Linotype" w:hAnsi="Palatino Linotype" w:cs="Tahoma"/>
        </w:rPr>
        <w:t xml:space="preserve">El Sujeto Obligado, en respuesta precisó que no generó la información requerida, por lo que, sugirió presentar la solicitud de información a la Dirección General de Operación Urbana del Gobierno del Estado de México. Inconforme con lo anterior, el particular presentó </w:t>
      </w:r>
      <w:r w:rsidR="00373410" w:rsidRPr="00AE7573">
        <w:rPr>
          <w:rFonts w:ascii="Palatino Linotype" w:hAnsi="Palatino Linotype" w:cs="Tahoma"/>
        </w:rPr>
        <w:t>un recurso de revisión donde se inconformó por la incompetencia aludida por la Comisión de Agua del Estado de México, así como, por la negativa a proporcionar la información.</w:t>
      </w:r>
    </w:p>
    <w:p w:rsidR="00373410" w:rsidRPr="00AE7573" w:rsidRDefault="00373410" w:rsidP="00894C9C">
      <w:pPr>
        <w:spacing w:after="0" w:line="360" w:lineRule="auto"/>
        <w:jc w:val="both"/>
        <w:rPr>
          <w:rFonts w:ascii="Palatino Linotype" w:hAnsi="Palatino Linotype" w:cs="Tahoma"/>
        </w:rPr>
      </w:pPr>
    </w:p>
    <w:p w:rsidR="000A0A27" w:rsidRDefault="000A0A27" w:rsidP="00894C9C">
      <w:pPr>
        <w:spacing w:after="0" w:line="360" w:lineRule="auto"/>
        <w:jc w:val="both"/>
        <w:rPr>
          <w:rFonts w:ascii="Palatino Linotype" w:hAnsi="Palatino Linotype" w:cs="Tahoma"/>
        </w:rPr>
      </w:pPr>
    </w:p>
    <w:p w:rsidR="0037237D" w:rsidRPr="00AE7573" w:rsidRDefault="000A0A27" w:rsidP="00894C9C">
      <w:pPr>
        <w:spacing w:after="0" w:line="360" w:lineRule="auto"/>
        <w:jc w:val="both"/>
        <w:rPr>
          <w:rFonts w:ascii="Palatino Linotype" w:hAnsi="Palatino Linotype" w:cs="Tahoma"/>
        </w:rPr>
      </w:pPr>
      <w:r>
        <w:rPr>
          <w:rFonts w:ascii="Palatino Linotype" w:hAnsi="Palatino Linotype" w:cs="Tahoma"/>
        </w:rPr>
        <w:t xml:space="preserve">En </w:t>
      </w:r>
      <w:r w:rsidR="00A12A9A">
        <w:rPr>
          <w:rFonts w:ascii="Palatino Linotype" w:hAnsi="Palatino Linotype" w:cs="Tahoma"/>
        </w:rPr>
        <w:t>atención al Recurso de Revisión</w:t>
      </w:r>
      <w:r>
        <w:rPr>
          <w:rFonts w:ascii="Palatino Linotype" w:hAnsi="Palatino Linotype" w:cs="Tahoma"/>
        </w:rPr>
        <w:t>,</w:t>
      </w:r>
      <w:r w:rsidR="00373410" w:rsidRPr="00AE7573">
        <w:rPr>
          <w:rFonts w:ascii="Palatino Linotype" w:hAnsi="Palatino Linotype" w:cs="Tahoma"/>
        </w:rPr>
        <w:t xml:space="preserve"> </w:t>
      </w:r>
      <w:r>
        <w:rPr>
          <w:rFonts w:ascii="Palatino Linotype" w:hAnsi="Palatino Linotype" w:cs="Tahoma"/>
        </w:rPr>
        <w:t xml:space="preserve">a </w:t>
      </w:r>
      <w:r w:rsidR="00A12A9A">
        <w:rPr>
          <w:rFonts w:ascii="Palatino Linotype" w:hAnsi="Palatino Linotype" w:cs="Tahoma"/>
        </w:rPr>
        <w:t>través</w:t>
      </w:r>
      <w:r w:rsidR="00373410" w:rsidRPr="00AE7573">
        <w:rPr>
          <w:rFonts w:ascii="Palatino Linotype" w:hAnsi="Palatino Linotype" w:cs="Tahoma"/>
        </w:rPr>
        <w:t xml:space="preserve"> del Informe Justificado, el Sujeto Obligado proporcionó los expedientes relativos a la Exhacienda de Paula, Rancho Grande y Lomas Paula; mismos que no se pusieron a disposición del ahora recurrente por contener diversos datos personales.</w:t>
      </w:r>
      <w:r w:rsidR="00A12A9A">
        <w:rPr>
          <w:rFonts w:ascii="Palatino Linotype" w:hAnsi="Palatino Linotype" w:cs="Tahoma"/>
        </w:rPr>
        <w:t xml:space="preserve"> </w:t>
      </w:r>
      <w:r w:rsidR="0037237D" w:rsidRPr="00AE7573">
        <w:rPr>
          <w:rFonts w:ascii="Palatino Linotype" w:hAnsi="Palatino Linotype" w:cs="Tahoma"/>
        </w:rPr>
        <w:t xml:space="preserve">En este sentido, mediante un análisis fundado y motivado, el Comisionado Ponente </w:t>
      </w:r>
      <w:r w:rsidR="00092DF2" w:rsidRPr="00AE7573">
        <w:rPr>
          <w:rFonts w:ascii="Palatino Linotype" w:hAnsi="Palatino Linotype" w:cs="Tahoma"/>
        </w:rPr>
        <w:t xml:space="preserve">advirtió </w:t>
      </w:r>
      <w:r w:rsidR="00373410" w:rsidRPr="00AE7573">
        <w:rPr>
          <w:rFonts w:ascii="Palatino Linotype" w:hAnsi="Palatino Linotype" w:cs="Tahoma"/>
        </w:rPr>
        <w:t xml:space="preserve">que la información proporcionada mediante el Informe Justificado, atendía lo requerido; no obstante que contenía </w:t>
      </w:r>
      <w:r w:rsidR="00373410" w:rsidRPr="00AE7573">
        <w:rPr>
          <w:rFonts w:ascii="Palatino Linotype" w:hAnsi="Palatino Linotype" w:cs="Tahoma"/>
          <w:b/>
        </w:rPr>
        <w:t xml:space="preserve">diversos datos personales, </w:t>
      </w:r>
      <w:r w:rsidR="00373410" w:rsidRPr="00AE7573">
        <w:rPr>
          <w:rFonts w:ascii="Palatino Linotype" w:hAnsi="Palatino Linotype" w:cs="Tahoma"/>
        </w:rPr>
        <w:t>por lo que resultaba procedente su entrega en versión pública.</w:t>
      </w:r>
    </w:p>
    <w:p w:rsidR="007A18DC" w:rsidRPr="00AE7573" w:rsidRDefault="007A18DC" w:rsidP="00894C9C">
      <w:pPr>
        <w:spacing w:after="0" w:line="360" w:lineRule="auto"/>
        <w:jc w:val="both"/>
        <w:rPr>
          <w:rFonts w:ascii="Palatino Linotype" w:hAnsi="Palatino Linotype" w:cs="Tahoma"/>
        </w:rPr>
      </w:pPr>
    </w:p>
    <w:p w:rsidR="00424CE5" w:rsidRPr="00AE7573" w:rsidRDefault="0037237D" w:rsidP="00894C9C">
      <w:pPr>
        <w:spacing w:after="0" w:line="360" w:lineRule="auto"/>
        <w:jc w:val="both"/>
        <w:rPr>
          <w:rFonts w:ascii="Palatino Linotype" w:hAnsi="Palatino Linotype" w:cs="Tahoma"/>
        </w:rPr>
      </w:pPr>
      <w:r w:rsidRPr="00AE7573">
        <w:rPr>
          <w:rFonts w:ascii="Palatino Linotype" w:hAnsi="Palatino Linotype" w:cs="Tahoma"/>
        </w:rPr>
        <w:t xml:space="preserve">Conforme a lo anterior, se aprobó </w:t>
      </w:r>
      <w:r w:rsidR="00373410" w:rsidRPr="00AE7573">
        <w:rPr>
          <w:rFonts w:ascii="Palatino Linotype" w:hAnsi="Palatino Linotype" w:cs="Tahoma"/>
          <w:b/>
        </w:rPr>
        <w:t>REVOCAR</w:t>
      </w:r>
      <w:r w:rsidR="00CA2787" w:rsidRPr="00AE7573">
        <w:rPr>
          <w:rFonts w:ascii="Palatino Linotype" w:hAnsi="Palatino Linotype" w:cs="Tahoma"/>
          <w:b/>
        </w:rPr>
        <w:t xml:space="preserve"> </w:t>
      </w:r>
      <w:r w:rsidR="00092DF2" w:rsidRPr="00AE7573">
        <w:rPr>
          <w:rFonts w:ascii="Palatino Linotype" w:hAnsi="Palatino Linotype" w:cs="Tahoma"/>
        </w:rPr>
        <w:t>a</w:t>
      </w:r>
      <w:r w:rsidR="00373410" w:rsidRPr="00AE7573">
        <w:rPr>
          <w:rFonts w:ascii="Palatino Linotype" w:hAnsi="Palatino Linotype" w:cs="Tahoma"/>
        </w:rPr>
        <w:t xml:space="preserve"> </w:t>
      </w:r>
      <w:r w:rsidR="00092DF2" w:rsidRPr="00AE7573">
        <w:rPr>
          <w:rFonts w:ascii="Palatino Linotype" w:hAnsi="Palatino Linotype" w:cs="Tahoma"/>
        </w:rPr>
        <w:t>l</w:t>
      </w:r>
      <w:r w:rsidR="00373410" w:rsidRPr="00AE7573">
        <w:rPr>
          <w:rFonts w:ascii="Palatino Linotype" w:hAnsi="Palatino Linotype" w:cs="Tahoma"/>
        </w:rPr>
        <w:t>a</w:t>
      </w:r>
      <w:r w:rsidR="00092DF2" w:rsidRPr="00AE7573">
        <w:rPr>
          <w:rFonts w:ascii="Palatino Linotype" w:hAnsi="Palatino Linotype" w:cs="Tahoma"/>
        </w:rPr>
        <w:t xml:space="preserve"> </w:t>
      </w:r>
      <w:r w:rsidR="00373410" w:rsidRPr="00AE7573">
        <w:rPr>
          <w:rFonts w:ascii="Palatino Linotype" w:hAnsi="Palatino Linotype" w:cs="Tahoma"/>
        </w:rPr>
        <w:t>Comisión del Agua del Estado de México</w:t>
      </w:r>
      <w:r w:rsidR="00092DF2" w:rsidRPr="00AE7573">
        <w:rPr>
          <w:rFonts w:ascii="Palatino Linotype" w:hAnsi="Palatino Linotype" w:cs="Tahoma"/>
        </w:rPr>
        <w:t xml:space="preserve">, </w:t>
      </w:r>
      <w:r w:rsidR="00424CE5" w:rsidRPr="00AE7573">
        <w:rPr>
          <w:rFonts w:ascii="Palatino Linotype" w:hAnsi="Palatino Linotype" w:cs="Tahoma"/>
        </w:rPr>
        <w:t>a efecto de que proporcione la versión pública de los documentos consistentes en los expedientes completos de las opiniones técnicas emitidas por el Sujeto Obligado, respecto de desarrollos o conjuntos urbanos en el Municipio de Temascalapa de 2003 al veintisiete de agosto de 2018</w:t>
      </w:r>
      <w:r w:rsidR="00A12A9A">
        <w:rPr>
          <w:rFonts w:ascii="Palatino Linotype" w:hAnsi="Palatino Linotype" w:cs="Tahoma"/>
        </w:rPr>
        <w:t xml:space="preserve">, además de precisar que </w:t>
      </w:r>
      <w:r w:rsidR="00A12A9A" w:rsidRPr="00A12A9A">
        <w:rPr>
          <w:rFonts w:ascii="Palatino Linotype" w:hAnsi="Palatino Linotype" w:cs="Tahoma"/>
        </w:rPr>
        <w:t>las escrituras públicas sobre la constitución de una empresa inmobiliaria y la protocolización del acta de la asamblea general extraordinaria de accionistas, deben ser clasificadas en su totalidad</w:t>
      </w:r>
      <w:r w:rsidR="00424CE5" w:rsidRPr="00A12A9A">
        <w:rPr>
          <w:rFonts w:ascii="Palatino Linotype" w:hAnsi="Palatino Linotype" w:cs="Tahoma"/>
        </w:rPr>
        <w:t>;</w:t>
      </w:r>
      <w:r w:rsidR="00424CE5" w:rsidRPr="00AE7573">
        <w:rPr>
          <w:rFonts w:ascii="Palatino Linotype" w:hAnsi="Palatino Linotype" w:cs="Tahoma"/>
        </w:rPr>
        <w:t xml:space="preserve"> </w:t>
      </w:r>
      <w:r w:rsidR="00A12A9A">
        <w:rPr>
          <w:rFonts w:ascii="Palatino Linotype" w:hAnsi="Palatino Linotype" w:cs="Tahoma"/>
        </w:rPr>
        <w:t xml:space="preserve">por lo que también deberá entregar </w:t>
      </w:r>
      <w:r w:rsidR="00424CE5" w:rsidRPr="00AE7573">
        <w:rPr>
          <w:rFonts w:ascii="Palatino Linotype" w:hAnsi="Palatino Linotype" w:cs="Tahoma"/>
        </w:rPr>
        <w:t xml:space="preserve"> el Acuerdo del Comité de Transparencia</w:t>
      </w:r>
      <w:r w:rsidR="00A12A9A">
        <w:rPr>
          <w:rFonts w:ascii="Palatino Linotype" w:hAnsi="Palatino Linotype" w:cs="Tahoma"/>
        </w:rPr>
        <w:t>,</w:t>
      </w:r>
      <w:r w:rsidR="00424CE5" w:rsidRPr="00AE7573">
        <w:rPr>
          <w:rFonts w:ascii="Palatino Linotype" w:hAnsi="Palatino Linotype" w:cs="Tahoma"/>
        </w:rPr>
        <w:t xml:space="preserve"> de acuerdo con la Ley de Transparencia y Acceso a la Información Pública del Estado de México y Municipios, en el que funde y motive las razones sobre los datos que se supriman o elim</w:t>
      </w:r>
      <w:r w:rsidR="00210479" w:rsidRPr="00AE7573">
        <w:rPr>
          <w:rFonts w:ascii="Palatino Linotype" w:hAnsi="Palatino Linotype" w:cs="Tahoma"/>
        </w:rPr>
        <w:t>inen de los documentos a entregar.</w:t>
      </w:r>
    </w:p>
    <w:p w:rsidR="00210479" w:rsidRPr="00AE7573" w:rsidRDefault="00210479" w:rsidP="00894C9C">
      <w:pPr>
        <w:spacing w:after="0" w:line="360" w:lineRule="auto"/>
        <w:jc w:val="both"/>
        <w:rPr>
          <w:rFonts w:ascii="Palatino Linotype" w:hAnsi="Palatino Linotype" w:cs="Tahoma"/>
        </w:rPr>
      </w:pPr>
    </w:p>
    <w:p w:rsidR="00210479" w:rsidRPr="00AE7573" w:rsidRDefault="00A12A9A" w:rsidP="00894C9C">
      <w:pPr>
        <w:spacing w:after="0" w:line="360" w:lineRule="auto"/>
        <w:jc w:val="both"/>
        <w:rPr>
          <w:rFonts w:ascii="Palatino Linotype" w:hAnsi="Palatino Linotype" w:cs="Tahoma"/>
          <w:b/>
        </w:rPr>
      </w:pPr>
      <w:r>
        <w:rPr>
          <w:rFonts w:ascii="Palatino Linotype" w:hAnsi="Palatino Linotype" w:cs="Tahoma"/>
        </w:rPr>
        <w:t>En este sentido</w:t>
      </w:r>
      <w:r w:rsidR="00210479" w:rsidRPr="00AE7573">
        <w:rPr>
          <w:rFonts w:ascii="Palatino Linotype" w:hAnsi="Palatino Linotype" w:cs="Tahoma"/>
        </w:rPr>
        <w:t>, se difiere con el cr</w:t>
      </w:r>
      <w:r>
        <w:rPr>
          <w:rFonts w:ascii="Palatino Linotype" w:hAnsi="Palatino Linotype" w:cs="Tahoma"/>
        </w:rPr>
        <w:t>iterio adoptado en la presente R</w:t>
      </w:r>
      <w:r w:rsidR="00210479" w:rsidRPr="00AE7573">
        <w:rPr>
          <w:rFonts w:ascii="Palatino Linotype" w:hAnsi="Palatino Linotype" w:cs="Tahoma"/>
        </w:rPr>
        <w:t>esolución, ya que si bien se coincide en que los documentos que conforman los expedientes entregados en Informe Justificado se entreguen en versión pública</w:t>
      </w:r>
      <w:r w:rsidR="00210479" w:rsidRPr="00AE7573">
        <w:rPr>
          <w:rFonts w:ascii="Palatino Linotype" w:hAnsi="Palatino Linotype" w:cs="Tahoma"/>
          <w:b/>
        </w:rPr>
        <w:t>,</w:t>
      </w:r>
      <w:r w:rsidR="00691CB4" w:rsidRPr="00AE7573">
        <w:rPr>
          <w:rFonts w:ascii="Palatino Linotype" w:hAnsi="Palatino Linotype" w:cs="Tahoma"/>
          <w:b/>
        </w:rPr>
        <w:t xml:space="preserve"> no </w:t>
      </w:r>
      <w:r>
        <w:rPr>
          <w:rFonts w:ascii="Palatino Linotype" w:hAnsi="Palatino Linotype" w:cs="Tahoma"/>
          <w:b/>
        </w:rPr>
        <w:t>se comparte</w:t>
      </w:r>
      <w:r w:rsidR="00691CB4" w:rsidRPr="00AE7573">
        <w:rPr>
          <w:rFonts w:ascii="Palatino Linotype" w:hAnsi="Palatino Linotype" w:cs="Tahoma"/>
          <w:b/>
        </w:rPr>
        <w:t xml:space="preserve"> </w:t>
      </w:r>
      <w:r>
        <w:rPr>
          <w:rFonts w:ascii="Palatino Linotype" w:hAnsi="Palatino Linotype" w:cs="Tahoma"/>
          <w:b/>
        </w:rPr>
        <w:t xml:space="preserve">el criterio de ordenar </w:t>
      </w:r>
      <w:r w:rsidR="00691CB4" w:rsidRPr="00AE7573">
        <w:rPr>
          <w:rFonts w:ascii="Palatino Linotype" w:hAnsi="Palatino Linotype" w:cs="Tahoma"/>
          <w:b/>
        </w:rPr>
        <w:t>la clasificación total de las escrituras públicas sobre la constitución de una empresa inmobiliaria y la protocolización del acta de la asamblea general extraordinaria de accionistas de la misma empresa.</w:t>
      </w:r>
    </w:p>
    <w:p w:rsidR="0037237D" w:rsidRPr="00AE7573" w:rsidRDefault="0037237D" w:rsidP="00894C9C">
      <w:pPr>
        <w:spacing w:after="0" w:line="360" w:lineRule="auto"/>
        <w:jc w:val="both"/>
        <w:rPr>
          <w:rFonts w:ascii="Palatino Linotype" w:hAnsi="Palatino Linotype" w:cs="Tahoma"/>
        </w:rPr>
      </w:pPr>
    </w:p>
    <w:p w:rsidR="00424CE5" w:rsidRPr="00AE7573" w:rsidRDefault="00CF6078" w:rsidP="00894C9C">
      <w:pPr>
        <w:spacing w:after="0" w:line="360" w:lineRule="auto"/>
        <w:jc w:val="both"/>
        <w:rPr>
          <w:rFonts w:ascii="Palatino Linotype" w:hAnsi="Palatino Linotype" w:cs="Tahoma"/>
        </w:rPr>
      </w:pPr>
      <w:r w:rsidRPr="00AE7573">
        <w:rPr>
          <w:rFonts w:ascii="Palatino Linotype" w:hAnsi="Palatino Linotype" w:cs="Arial"/>
        </w:rPr>
        <w:t xml:space="preserve">En principio, cabe señalar que es información pública, toda aquella información que posean los sujetos obligados, situación que sucede, en el presente caso, pues por la realización de diversos procedimientos la Comisión </w:t>
      </w:r>
      <w:r w:rsidRPr="00AE7573">
        <w:rPr>
          <w:rFonts w:ascii="Palatino Linotype" w:hAnsi="Palatino Linotype" w:cs="Tahoma"/>
        </w:rPr>
        <w:t>del Agua del Estado de México</w:t>
      </w:r>
      <w:r w:rsidR="002B4CE6" w:rsidRPr="00AE7573">
        <w:rPr>
          <w:rFonts w:ascii="Palatino Linotype" w:hAnsi="Palatino Linotype" w:cs="Tahoma"/>
        </w:rPr>
        <w:t xml:space="preserve"> se allegó de dichos documentos.</w:t>
      </w:r>
    </w:p>
    <w:p w:rsidR="002B4CE6" w:rsidRPr="00AE7573" w:rsidRDefault="002B4CE6" w:rsidP="00894C9C">
      <w:pPr>
        <w:spacing w:after="0" w:line="360" w:lineRule="auto"/>
        <w:jc w:val="both"/>
        <w:rPr>
          <w:rFonts w:ascii="Palatino Linotype" w:hAnsi="Palatino Linotype" w:cs="Tahoma"/>
        </w:rPr>
      </w:pPr>
    </w:p>
    <w:p w:rsidR="002B4CE6" w:rsidRPr="00AE7573" w:rsidRDefault="002B4CE6" w:rsidP="00894C9C">
      <w:pPr>
        <w:spacing w:after="0" w:line="360" w:lineRule="auto"/>
        <w:jc w:val="both"/>
        <w:rPr>
          <w:rFonts w:ascii="Palatino Linotype" w:hAnsi="Palatino Linotype" w:cs="Arial"/>
        </w:rPr>
      </w:pPr>
      <w:r w:rsidRPr="00AE7573">
        <w:rPr>
          <w:rFonts w:ascii="Palatino Linotype" w:hAnsi="Palatino Linotype" w:cs="Tahoma"/>
        </w:rPr>
        <w:t>En relación con lo anterior, es de precisar que conforme a los artículos 1</w:t>
      </w:r>
      <w:r w:rsidR="00A12A9A">
        <w:rPr>
          <w:rFonts w:ascii="Palatino Linotype" w:hAnsi="Palatino Linotype" w:cs="Tahoma"/>
        </w:rPr>
        <w:t>°</w:t>
      </w:r>
      <w:r w:rsidRPr="00AE7573">
        <w:rPr>
          <w:rFonts w:ascii="Palatino Linotype" w:hAnsi="Palatino Linotype" w:cs="Tahoma"/>
        </w:rPr>
        <w:t>, 5</w:t>
      </w:r>
      <w:r w:rsidR="00A12A9A">
        <w:rPr>
          <w:rFonts w:ascii="Palatino Linotype" w:hAnsi="Palatino Linotype" w:cs="Tahoma"/>
        </w:rPr>
        <w:t>°</w:t>
      </w:r>
      <w:r w:rsidRPr="00AE7573">
        <w:rPr>
          <w:rFonts w:ascii="Palatino Linotype" w:hAnsi="Palatino Linotype" w:cs="Tahoma"/>
        </w:rPr>
        <w:t>, 6</w:t>
      </w:r>
      <w:r w:rsidR="00A12A9A">
        <w:rPr>
          <w:rFonts w:ascii="Palatino Linotype" w:hAnsi="Palatino Linotype" w:cs="Tahoma"/>
        </w:rPr>
        <w:t>°</w:t>
      </w:r>
      <w:r w:rsidRPr="00AE7573">
        <w:rPr>
          <w:rFonts w:ascii="Palatino Linotype" w:hAnsi="Palatino Linotype" w:cs="Tahoma"/>
        </w:rPr>
        <w:t xml:space="preserve">, 10, 87 y 89 de la Ley General de Sociedades Mercantiles, que prevé que las sociedades mercantiles se constituyen ante notario, mediante escritura pública, la cual debe contener, entre otras cosas: nombre, nacionalidad y domicilio de las personas físicas que la constituyan, objeto, razón social o denominación, duración, importe de capital social, expresión de lo que cada socio aporte en dinero u otros bienes, domicilio de la sociedad, </w:t>
      </w:r>
      <w:r w:rsidR="00A12A9A">
        <w:rPr>
          <w:rFonts w:ascii="Palatino Linotype" w:hAnsi="Palatino Linotype" w:cs="Tahoma"/>
        </w:rPr>
        <w:t xml:space="preserve">así como </w:t>
      </w:r>
      <w:r w:rsidRPr="00AE7573">
        <w:rPr>
          <w:rFonts w:ascii="Palatino Linotype" w:hAnsi="Palatino Linotype" w:cs="Tahoma"/>
        </w:rPr>
        <w:t>porcentaje de acciones.</w:t>
      </w:r>
    </w:p>
    <w:p w:rsidR="00424CE5" w:rsidRPr="00AE7573" w:rsidRDefault="00424CE5" w:rsidP="00894C9C">
      <w:pPr>
        <w:spacing w:after="0" w:line="360" w:lineRule="auto"/>
        <w:jc w:val="both"/>
        <w:rPr>
          <w:rFonts w:ascii="Palatino Linotype" w:hAnsi="Palatino Linotype" w:cs="Arial"/>
        </w:rPr>
      </w:pPr>
    </w:p>
    <w:p w:rsidR="002B4CE6" w:rsidRPr="00AE7573" w:rsidRDefault="002B4CE6" w:rsidP="00894C9C">
      <w:pPr>
        <w:autoSpaceDE w:val="0"/>
        <w:autoSpaceDN w:val="0"/>
        <w:adjustRightInd w:val="0"/>
        <w:spacing w:line="360" w:lineRule="auto"/>
        <w:jc w:val="both"/>
        <w:rPr>
          <w:rFonts w:ascii="Palatino Linotype" w:hAnsi="Palatino Linotype" w:cs="Arial"/>
          <w:b/>
          <w:bCs/>
          <w:color w:val="000000"/>
        </w:rPr>
      </w:pPr>
      <w:r w:rsidRPr="00AE7573">
        <w:rPr>
          <w:rFonts w:ascii="Palatino Linotype" w:hAnsi="Palatino Linotype" w:cs="Arial"/>
        </w:rPr>
        <w:t xml:space="preserve">Atendiendo a lo anterior, </w:t>
      </w:r>
      <w:r w:rsidRPr="00AE7573">
        <w:rPr>
          <w:rFonts w:ascii="Palatino Linotype" w:hAnsi="Palatino Linotype" w:cs="Arial"/>
          <w:color w:val="000000"/>
        </w:rPr>
        <w:t xml:space="preserve">las actas constitutivas y las actas de asamblea  </w:t>
      </w:r>
      <w:r w:rsidRPr="00AE7573">
        <w:rPr>
          <w:rFonts w:ascii="Palatino Linotype" w:hAnsi="Palatino Linotype" w:cs="Arial"/>
          <w:b/>
          <w:bCs/>
          <w:color w:val="000000"/>
        </w:rPr>
        <w:t xml:space="preserve">no se ubican en el supuesto de ser información generada con motivo de las actividades propias de las empresas citadas, derivado de que son un requisito indispensable para la constitución de sociedades mercantiles y su actuar. </w:t>
      </w:r>
    </w:p>
    <w:p w:rsidR="00424CE5" w:rsidRPr="00AE7573" w:rsidRDefault="00424CE5" w:rsidP="00894C9C">
      <w:pPr>
        <w:spacing w:after="0" w:line="360" w:lineRule="auto"/>
        <w:jc w:val="both"/>
        <w:rPr>
          <w:rFonts w:ascii="Palatino Linotype" w:hAnsi="Palatino Linotype" w:cs="Arial"/>
        </w:rPr>
      </w:pPr>
    </w:p>
    <w:p w:rsidR="00424CE5" w:rsidRPr="00AE7573" w:rsidRDefault="002B4CE6" w:rsidP="00894C9C">
      <w:pPr>
        <w:spacing w:after="0" w:line="360" w:lineRule="auto"/>
        <w:jc w:val="both"/>
        <w:rPr>
          <w:rFonts w:ascii="Palatino Linotype" w:hAnsi="Palatino Linotype" w:cs="Arial"/>
          <w:lang w:val="es-MX"/>
        </w:rPr>
      </w:pPr>
      <w:r w:rsidRPr="00AE7573">
        <w:rPr>
          <w:rFonts w:ascii="Palatino Linotype" w:hAnsi="Palatino Linotype" w:cs="Arial"/>
        </w:rPr>
        <w:t>Por otra parte, las actas constitutivas o de asamblea, no refieren a información resguardada con el carácter de confidencial y no se advierte de dichos documentos, que se hayan adoptado medios o sistemas para su preservación; además, que con dichos documentos, se permite corroborar que la sociedad mercantil está debid</w:t>
      </w:r>
      <w:r w:rsidR="005F30B7" w:rsidRPr="00AE7573">
        <w:rPr>
          <w:rFonts w:ascii="Palatino Linotype" w:hAnsi="Palatino Linotype" w:cs="Arial"/>
        </w:rPr>
        <w:t xml:space="preserve">amente conformada  y registrada. Aunado al hecho de que los documentos </w:t>
      </w:r>
      <w:r w:rsidR="005F30B7" w:rsidRPr="00AE7573">
        <w:rPr>
          <w:rFonts w:ascii="Palatino Linotype" w:hAnsi="Palatino Linotype" w:cs="Arial"/>
          <w:lang w:val="es-MX"/>
        </w:rPr>
        <w:t>no otorgan una ventaja competitiva o método de distribución o comercialización de sus actividades; en virtud de que contienen información relativa a su constitución y establecimiento, por lo que son de dominio público.</w:t>
      </w:r>
    </w:p>
    <w:p w:rsidR="005F30B7" w:rsidRPr="00AE7573" w:rsidRDefault="005F30B7" w:rsidP="00894C9C">
      <w:pPr>
        <w:spacing w:after="0" w:line="360" w:lineRule="auto"/>
        <w:jc w:val="both"/>
        <w:rPr>
          <w:rFonts w:ascii="Palatino Linotype" w:hAnsi="Palatino Linotype" w:cs="Arial"/>
          <w:lang w:val="es-MX"/>
        </w:rPr>
      </w:pPr>
    </w:p>
    <w:p w:rsidR="00A12A9A" w:rsidRDefault="00A12A9A" w:rsidP="00894C9C">
      <w:pPr>
        <w:spacing w:after="0" w:line="360" w:lineRule="auto"/>
        <w:jc w:val="both"/>
        <w:rPr>
          <w:rFonts w:ascii="Palatino Linotype" w:hAnsi="Palatino Linotype" w:cs="Arial"/>
          <w:lang w:val="es-MX"/>
        </w:rPr>
      </w:pPr>
    </w:p>
    <w:p w:rsidR="005F30B7" w:rsidRPr="00AE7573" w:rsidRDefault="005F30B7" w:rsidP="00894C9C">
      <w:pPr>
        <w:spacing w:after="0" w:line="360" w:lineRule="auto"/>
        <w:jc w:val="both"/>
        <w:rPr>
          <w:rFonts w:ascii="Palatino Linotype" w:hAnsi="Palatino Linotype" w:cs="Arial"/>
          <w:lang w:val="es-MX"/>
        </w:rPr>
      </w:pPr>
      <w:r w:rsidRPr="00AE7573">
        <w:rPr>
          <w:rFonts w:ascii="Palatino Linotype" w:hAnsi="Palatino Linotype" w:cs="Arial"/>
          <w:lang w:val="es-MX"/>
        </w:rPr>
        <w:t xml:space="preserve">Lo anterior, toma sustento en los artículos 3° y 16 del Código de Comercio, el cual dispone que las sociedades constituidas conforme a las leyes mercantiles se consideran comerciantes, </w:t>
      </w:r>
      <w:r w:rsidRPr="00AE7573">
        <w:rPr>
          <w:rFonts w:ascii="Palatino Linotype" w:hAnsi="Palatino Linotype" w:cs="Arial"/>
          <w:b/>
          <w:bCs/>
          <w:lang w:val="es-MX"/>
        </w:rPr>
        <w:t>los cuales están obligados a inscribirse en el Registro Público de Comercio y registrar los documentos que deban hacerse notorios</w:t>
      </w:r>
      <w:r w:rsidRPr="00AE7573">
        <w:rPr>
          <w:rFonts w:ascii="Palatino Linotype" w:hAnsi="Palatino Linotype" w:cs="Arial"/>
          <w:lang w:val="es-MX"/>
        </w:rPr>
        <w:t xml:space="preserve">, entre los que se encuentran, para el caso de personas morales, </w:t>
      </w:r>
      <w:r w:rsidRPr="00AE7573">
        <w:rPr>
          <w:rFonts w:ascii="Palatino Linotype" w:hAnsi="Palatino Linotype" w:cs="Arial"/>
          <w:b/>
          <w:bCs/>
          <w:lang w:val="es-MX"/>
        </w:rPr>
        <w:t xml:space="preserve">los instrumentos en los que se haga constar su constitución, así como sus actas de asamblea </w:t>
      </w:r>
      <w:r w:rsidRPr="00A12A9A">
        <w:rPr>
          <w:rFonts w:ascii="Palatino Linotype" w:hAnsi="Palatino Linotype" w:cs="Arial"/>
          <w:bCs/>
          <w:lang w:val="es-MX"/>
        </w:rPr>
        <w:t>por</w:t>
      </w:r>
      <w:r w:rsidRPr="00AE7573">
        <w:rPr>
          <w:rFonts w:ascii="Palatino Linotype" w:hAnsi="Palatino Linotype" w:cs="Arial"/>
          <w:lang w:val="es-MX"/>
        </w:rPr>
        <w:t xml:space="preserve"> el cambio de denominación o razón social, domicilio, objeto social, duración, el aumento o disminución del capital mínimo fijo y, opcionalmente, los poderes, y nombramientos de funcionarios, así como sus renuncias o revocaciones. Asimismo, </w:t>
      </w:r>
      <w:r w:rsidR="00A12A9A">
        <w:rPr>
          <w:rFonts w:ascii="Palatino Linotype" w:hAnsi="Palatino Linotype" w:cs="Arial"/>
          <w:lang w:val="es-MX"/>
        </w:rPr>
        <w:t>los</w:t>
      </w:r>
      <w:r w:rsidRPr="00AE7573">
        <w:rPr>
          <w:rFonts w:ascii="Palatino Linotype" w:hAnsi="Palatino Linotype" w:cs="Arial"/>
          <w:lang w:val="es-MX"/>
        </w:rPr>
        <w:t xml:space="preserve"> artículo</w:t>
      </w:r>
      <w:r w:rsidR="00A12A9A">
        <w:rPr>
          <w:rFonts w:ascii="Palatino Linotype" w:hAnsi="Palatino Linotype" w:cs="Arial"/>
          <w:lang w:val="es-MX"/>
        </w:rPr>
        <w:t>s</w:t>
      </w:r>
      <w:r w:rsidRPr="00AE7573">
        <w:rPr>
          <w:rFonts w:ascii="Palatino Linotype" w:hAnsi="Palatino Linotype" w:cs="Arial"/>
          <w:lang w:val="es-MX"/>
        </w:rPr>
        <w:t xml:space="preserve"> 18 y 21 del ordenamiento legal citado disponen que en el Registro Público de Comercio, se inscriben los actos mercantiles, así como aquéllos que se relacionan con los comerciantes y</w:t>
      </w:r>
      <w:r w:rsidR="00A12A9A">
        <w:rPr>
          <w:rFonts w:ascii="Palatino Linotype" w:hAnsi="Palatino Linotype" w:cs="Arial"/>
          <w:lang w:val="es-MX"/>
        </w:rPr>
        <w:t xml:space="preserve"> </w:t>
      </w:r>
      <w:r w:rsidRPr="00AE7573">
        <w:rPr>
          <w:rFonts w:ascii="Palatino Linotype" w:hAnsi="Palatino Linotype" w:cs="Arial"/>
          <w:lang w:val="es-MX"/>
        </w:rPr>
        <w:t>confor</w:t>
      </w:r>
      <w:r w:rsidR="00A12A9A">
        <w:rPr>
          <w:rFonts w:ascii="Palatino Linotype" w:hAnsi="Palatino Linotype" w:cs="Arial"/>
          <w:lang w:val="es-MX"/>
        </w:rPr>
        <w:t>me a la legislación lo requiera</w:t>
      </w:r>
      <w:r w:rsidRPr="00AE7573">
        <w:rPr>
          <w:rFonts w:ascii="Palatino Linotype" w:hAnsi="Palatino Linotype" w:cs="Arial"/>
          <w:lang w:val="es-MX"/>
        </w:rPr>
        <w:t>, por lo que existirá un folio electrónico por cada comerciante o sociedad, donde se anotarán diversos datos, tales como datos de identificación, actas, acuerdos, nombramientos, renuncias, revocaciones o autorizaciones.</w:t>
      </w:r>
    </w:p>
    <w:p w:rsidR="005F30B7" w:rsidRPr="00AE7573" w:rsidRDefault="005F30B7" w:rsidP="00894C9C">
      <w:pPr>
        <w:spacing w:after="0" w:line="360" w:lineRule="auto"/>
        <w:jc w:val="both"/>
        <w:rPr>
          <w:rFonts w:ascii="Palatino Linotype" w:hAnsi="Palatino Linotype" w:cs="Arial"/>
          <w:lang w:val="es-MX"/>
        </w:rPr>
      </w:pPr>
    </w:p>
    <w:p w:rsidR="005F30B7" w:rsidRPr="00AE7573" w:rsidRDefault="005F30B7" w:rsidP="00894C9C">
      <w:pPr>
        <w:spacing w:after="0" w:line="360" w:lineRule="auto"/>
        <w:jc w:val="both"/>
        <w:rPr>
          <w:rFonts w:ascii="Palatino Linotype" w:hAnsi="Palatino Linotype" w:cs="Arial"/>
          <w:lang w:val="es-MX"/>
        </w:rPr>
      </w:pPr>
      <w:r w:rsidRPr="00AE7573">
        <w:rPr>
          <w:rFonts w:ascii="Palatino Linotype" w:hAnsi="Palatino Linotype" w:cs="Arial"/>
          <w:lang w:val="es-MX"/>
        </w:rPr>
        <w:t>En ese contexto, conforme al artículo 30 de dicho Código, los particulares podrán consultar las bases de datos y, en su caso, solicitar las certificaciones respectivas, previo pago de los derechos correspondientes.</w:t>
      </w:r>
    </w:p>
    <w:p w:rsidR="005F30B7" w:rsidRPr="00AE7573" w:rsidRDefault="005F30B7" w:rsidP="00894C9C">
      <w:pPr>
        <w:spacing w:after="0" w:line="360" w:lineRule="auto"/>
        <w:jc w:val="both"/>
        <w:rPr>
          <w:rFonts w:ascii="Palatino Linotype" w:hAnsi="Palatino Linotype" w:cs="Arial"/>
          <w:lang w:val="es-MX"/>
        </w:rPr>
      </w:pPr>
    </w:p>
    <w:p w:rsidR="005F30B7" w:rsidRPr="00AE7573" w:rsidRDefault="005F30B7" w:rsidP="00894C9C">
      <w:pPr>
        <w:spacing w:after="0" w:line="360" w:lineRule="auto"/>
        <w:jc w:val="both"/>
        <w:rPr>
          <w:rFonts w:ascii="Palatino Linotype" w:hAnsi="Palatino Linotype" w:cs="Arial"/>
          <w:lang w:val="es-MX"/>
        </w:rPr>
      </w:pPr>
      <w:r w:rsidRPr="00AE7573">
        <w:rPr>
          <w:rFonts w:ascii="Palatino Linotype" w:hAnsi="Palatino Linotype" w:cs="Arial"/>
          <w:lang w:val="es-MX"/>
        </w:rPr>
        <w:t xml:space="preserve">Por tales circunstancias, se considera que es procedente la entrega del </w:t>
      </w:r>
      <w:r w:rsidR="00A12A9A">
        <w:rPr>
          <w:rFonts w:ascii="Palatino Linotype" w:hAnsi="Palatino Linotype" w:cs="Arial"/>
          <w:b/>
        </w:rPr>
        <w:t>las escrituras públicas d</w:t>
      </w:r>
      <w:r w:rsidRPr="00AE7573">
        <w:rPr>
          <w:rFonts w:ascii="Palatino Linotype" w:hAnsi="Palatino Linotype" w:cs="Arial"/>
          <w:b/>
        </w:rPr>
        <w:t xml:space="preserve">e la constitución de una empresa inmobiliaria y la protocolización del acta de la asamblea general extraordinaria de accionistas de la misma empresa, </w:t>
      </w:r>
      <w:r w:rsidRPr="00AE7573">
        <w:rPr>
          <w:rFonts w:ascii="Palatino Linotype" w:hAnsi="Palatino Linotype" w:cs="Arial"/>
        </w:rPr>
        <w:t xml:space="preserve">en tanto que </w:t>
      </w:r>
      <w:r w:rsidRPr="00AE7573">
        <w:rPr>
          <w:rFonts w:ascii="Palatino Linotype" w:hAnsi="Palatino Linotype" w:cs="Arial"/>
          <w:lang w:val="es-MX"/>
        </w:rPr>
        <w:t>que únicamente da</w:t>
      </w:r>
      <w:r w:rsidR="00A12A9A">
        <w:rPr>
          <w:rFonts w:ascii="Palatino Linotype" w:hAnsi="Palatino Linotype" w:cs="Arial"/>
          <w:lang w:val="es-MX"/>
        </w:rPr>
        <w:t>n</w:t>
      </w:r>
      <w:r w:rsidRPr="00AE7573">
        <w:rPr>
          <w:rFonts w:ascii="Palatino Linotype" w:hAnsi="Palatino Linotype" w:cs="Arial"/>
          <w:lang w:val="es-MX"/>
        </w:rPr>
        <w:t xml:space="preserve"> cuenta de la constitución de la empresa</w:t>
      </w:r>
      <w:r w:rsidR="00A12A9A">
        <w:rPr>
          <w:rFonts w:ascii="Palatino Linotype" w:hAnsi="Palatino Linotype" w:cs="Arial"/>
          <w:lang w:val="es-MX"/>
        </w:rPr>
        <w:t>, además de que</w:t>
      </w:r>
      <w:r w:rsidRPr="00AE7573">
        <w:rPr>
          <w:rFonts w:ascii="Palatino Linotype" w:hAnsi="Palatino Linotype" w:cs="Arial"/>
          <w:lang w:val="es-MX"/>
        </w:rPr>
        <w:t xml:space="preserve"> </w:t>
      </w:r>
      <w:r w:rsidRPr="00AE7573">
        <w:rPr>
          <w:rFonts w:ascii="Palatino Linotype" w:hAnsi="Palatino Linotype" w:cs="Arial"/>
          <w:b/>
          <w:lang w:val="es-MX"/>
        </w:rPr>
        <w:t>sirv</w:t>
      </w:r>
      <w:r w:rsidR="00A12A9A">
        <w:rPr>
          <w:rFonts w:ascii="Palatino Linotype" w:hAnsi="Palatino Linotype" w:cs="Arial"/>
          <w:b/>
          <w:lang w:val="es-MX"/>
        </w:rPr>
        <w:t>en</w:t>
      </w:r>
      <w:r w:rsidRPr="00AE7573">
        <w:rPr>
          <w:rFonts w:ascii="Palatino Linotype" w:hAnsi="Palatino Linotype" w:cs="Arial"/>
          <w:b/>
          <w:lang w:val="es-MX"/>
        </w:rPr>
        <w:t xml:space="preserve"> para </w:t>
      </w:r>
      <w:r w:rsidR="00A12A9A">
        <w:rPr>
          <w:rFonts w:ascii="Palatino Linotype" w:hAnsi="Palatino Linotype" w:cs="Arial"/>
          <w:b/>
          <w:lang w:val="es-MX"/>
        </w:rPr>
        <w:t xml:space="preserve">que sus representantes </w:t>
      </w:r>
      <w:r w:rsidRPr="00AE7573">
        <w:rPr>
          <w:rFonts w:ascii="Palatino Linotype" w:hAnsi="Palatino Linotype" w:cs="Arial"/>
          <w:b/>
          <w:lang w:val="es-MX"/>
        </w:rPr>
        <w:t>acredit</w:t>
      </w:r>
      <w:r w:rsidR="00A12A9A">
        <w:rPr>
          <w:rFonts w:ascii="Palatino Linotype" w:hAnsi="Palatino Linotype" w:cs="Arial"/>
          <w:b/>
          <w:lang w:val="es-MX"/>
        </w:rPr>
        <w:t>en</w:t>
      </w:r>
      <w:r w:rsidRPr="00AE7573">
        <w:rPr>
          <w:rFonts w:ascii="Palatino Linotype" w:hAnsi="Palatino Linotype" w:cs="Arial"/>
          <w:b/>
          <w:lang w:val="es-MX"/>
        </w:rPr>
        <w:t xml:space="preserve"> su personalidad para contratar con la </w:t>
      </w:r>
      <w:r w:rsidRPr="00AE7573">
        <w:rPr>
          <w:rFonts w:ascii="Palatino Linotype" w:hAnsi="Palatino Linotype" w:cs="Arial"/>
          <w:b/>
          <w:bCs/>
        </w:rPr>
        <w:t>Comisión de Agua del Estado de México</w:t>
      </w:r>
      <w:r w:rsidRPr="00AE7573">
        <w:rPr>
          <w:rFonts w:ascii="Palatino Linotype" w:hAnsi="Palatino Linotype" w:cs="Arial"/>
          <w:b/>
        </w:rPr>
        <w:t xml:space="preserve">. </w:t>
      </w:r>
      <w:r w:rsidRPr="00AE7573">
        <w:rPr>
          <w:rFonts w:ascii="Palatino Linotype" w:hAnsi="Palatino Linotype" w:cs="Arial"/>
        </w:rPr>
        <w:t xml:space="preserve">Por tal circunstancia </w:t>
      </w:r>
      <w:r w:rsidR="00727BC7" w:rsidRPr="00AE7573">
        <w:rPr>
          <w:rFonts w:ascii="Palatino Linotype" w:hAnsi="Palatino Linotype" w:cs="Arial"/>
        </w:rPr>
        <w:t>no pueden ser considerados como</w:t>
      </w:r>
      <w:r w:rsidR="00A12A9A">
        <w:rPr>
          <w:rFonts w:ascii="Palatino Linotype" w:hAnsi="Palatino Linotype" w:cs="Arial"/>
        </w:rPr>
        <w:t xml:space="preserve"> documentos </w:t>
      </w:r>
      <w:r w:rsidR="00A12A9A" w:rsidRPr="00A12A9A">
        <w:rPr>
          <w:rFonts w:ascii="Palatino Linotype" w:hAnsi="Palatino Linotype" w:cs="Arial"/>
          <w:b/>
        </w:rPr>
        <w:lastRenderedPageBreak/>
        <w:t xml:space="preserve">confidenciales en </w:t>
      </w:r>
      <w:r w:rsidR="00727BC7" w:rsidRPr="00AE7573">
        <w:rPr>
          <w:rFonts w:ascii="Palatino Linotype" w:hAnsi="Palatino Linotype" w:cs="Arial"/>
          <w:b/>
        </w:rPr>
        <w:t>su totalidad</w:t>
      </w:r>
      <w:r w:rsidR="00727BC7" w:rsidRPr="00AE7573">
        <w:rPr>
          <w:rFonts w:ascii="Palatino Linotype" w:hAnsi="Palatino Linotype" w:cs="Arial"/>
        </w:rPr>
        <w:t>, al ser documentales que obran en poder del Sujeto Obligado, derivado de los procedimientos que realiza para cumplir con sus atribuciones.</w:t>
      </w:r>
    </w:p>
    <w:p w:rsidR="005F30B7" w:rsidRPr="00AE7573" w:rsidRDefault="005F30B7" w:rsidP="00894C9C">
      <w:pPr>
        <w:spacing w:after="0" w:line="360" w:lineRule="auto"/>
        <w:jc w:val="both"/>
        <w:rPr>
          <w:rFonts w:ascii="Palatino Linotype" w:hAnsi="Palatino Linotype" w:cs="Arial"/>
        </w:rPr>
      </w:pPr>
    </w:p>
    <w:p w:rsidR="005F30B7" w:rsidRPr="00AE7573" w:rsidRDefault="00727BC7" w:rsidP="00894C9C">
      <w:pPr>
        <w:spacing w:after="0" w:line="360" w:lineRule="auto"/>
        <w:jc w:val="both"/>
        <w:rPr>
          <w:rFonts w:ascii="Palatino Linotype" w:hAnsi="Palatino Linotype" w:cs="Arial"/>
          <w:lang w:val="es-MX"/>
        </w:rPr>
      </w:pPr>
      <w:r w:rsidRPr="00AE7573">
        <w:rPr>
          <w:rFonts w:ascii="Palatino Linotype" w:hAnsi="Palatino Linotype" w:cs="Arial"/>
          <w:lang w:val="es-MX"/>
        </w:rPr>
        <w:t xml:space="preserve">No obstante lo anterior, como ya se arguyó previamente, dichos documentos pueden contener diversos datos personales, tales como </w:t>
      </w:r>
      <w:r w:rsidRPr="00AE7573">
        <w:rPr>
          <w:rFonts w:ascii="Palatino Linotype" w:hAnsi="Palatino Linotype" w:cs="Arial"/>
          <w:b/>
          <w:lang w:val="es-MX"/>
        </w:rPr>
        <w:t>el nombre, nacionalidad y domicilio de los accionistas,</w:t>
      </w:r>
      <w:r w:rsidRPr="00AE7573">
        <w:rPr>
          <w:rFonts w:ascii="Palatino Linotype" w:hAnsi="Palatino Linotype" w:cs="Arial"/>
          <w:lang w:val="es-MX"/>
        </w:rPr>
        <w:t xml:space="preserve"> toda vez que dichos datos podrían lograr contravenir la protección de la esfera privada de dichas personas, ocasionando así un perjuicio hacia su persona, por lo cual, </w:t>
      </w:r>
      <w:r w:rsidR="00A12A9A">
        <w:rPr>
          <w:rFonts w:ascii="Palatino Linotype" w:hAnsi="Palatino Linotype" w:cs="Arial"/>
          <w:lang w:val="es-MX"/>
        </w:rPr>
        <w:t>estos</w:t>
      </w:r>
      <w:r w:rsidRPr="00AE7573">
        <w:rPr>
          <w:rFonts w:ascii="Palatino Linotype" w:hAnsi="Palatino Linotype" w:cs="Arial"/>
          <w:lang w:val="es-MX"/>
        </w:rPr>
        <w:t xml:space="preserve"> dato</w:t>
      </w:r>
      <w:r w:rsidR="00A12A9A">
        <w:rPr>
          <w:rFonts w:ascii="Palatino Linotype" w:hAnsi="Palatino Linotype" w:cs="Arial"/>
          <w:lang w:val="es-MX"/>
        </w:rPr>
        <w:t>s</w:t>
      </w:r>
      <w:r w:rsidRPr="00AE7573">
        <w:rPr>
          <w:rFonts w:ascii="Palatino Linotype" w:hAnsi="Palatino Linotype" w:cs="Arial"/>
          <w:lang w:val="es-MX"/>
        </w:rPr>
        <w:t xml:space="preserve"> </w:t>
      </w:r>
      <w:r w:rsidR="00A12A9A">
        <w:rPr>
          <w:rFonts w:ascii="Palatino Linotype" w:hAnsi="Palatino Linotype" w:cs="Arial"/>
          <w:lang w:val="es-MX"/>
        </w:rPr>
        <w:t>si deben ser</w:t>
      </w:r>
      <w:r w:rsidRPr="00AE7573">
        <w:rPr>
          <w:rFonts w:ascii="Palatino Linotype" w:hAnsi="Palatino Linotype" w:cs="Arial"/>
          <w:lang w:val="es-MX"/>
        </w:rPr>
        <w:t xml:space="preserve"> considerado</w:t>
      </w:r>
      <w:r w:rsidR="00A12A9A">
        <w:rPr>
          <w:rFonts w:ascii="Palatino Linotype" w:hAnsi="Palatino Linotype" w:cs="Arial"/>
          <w:lang w:val="es-MX"/>
        </w:rPr>
        <w:t>s</w:t>
      </w:r>
      <w:r w:rsidRPr="00AE7573">
        <w:rPr>
          <w:rFonts w:ascii="Palatino Linotype" w:hAnsi="Palatino Linotype" w:cs="Arial"/>
          <w:lang w:val="es-MX"/>
        </w:rPr>
        <w:t xml:space="preserve"> como confidencial</w:t>
      </w:r>
      <w:r w:rsidR="00A12A9A">
        <w:rPr>
          <w:rFonts w:ascii="Palatino Linotype" w:hAnsi="Palatino Linotype" w:cs="Arial"/>
          <w:lang w:val="es-MX"/>
        </w:rPr>
        <w:t>es,</w:t>
      </w:r>
      <w:r w:rsidRPr="00AE7573">
        <w:rPr>
          <w:rFonts w:ascii="Palatino Linotype" w:hAnsi="Palatino Linotype" w:cs="Arial"/>
          <w:lang w:val="es-MX"/>
        </w:rPr>
        <w:t xml:space="preserve"> con fundamento en el artículo 143, fracción I</w:t>
      </w:r>
      <w:r w:rsidR="00A12A9A">
        <w:rPr>
          <w:rFonts w:ascii="Palatino Linotype" w:hAnsi="Palatino Linotype" w:cs="Arial"/>
          <w:lang w:val="es-MX"/>
        </w:rPr>
        <w:t>,</w:t>
      </w:r>
      <w:r w:rsidRPr="00AE7573">
        <w:rPr>
          <w:rFonts w:ascii="Palatino Linotype" w:hAnsi="Palatino Linotype" w:cs="Arial"/>
          <w:lang w:val="es-MX"/>
        </w:rPr>
        <w:t xml:space="preserve"> de la Ley de Transparencia y Acceso a la Información Pública del Estado de México.</w:t>
      </w:r>
    </w:p>
    <w:p w:rsidR="00727BC7" w:rsidRPr="00AE7573" w:rsidRDefault="00727BC7" w:rsidP="00894C9C">
      <w:pPr>
        <w:spacing w:after="0" w:line="360" w:lineRule="auto"/>
        <w:jc w:val="both"/>
        <w:rPr>
          <w:rFonts w:ascii="Palatino Linotype" w:hAnsi="Palatino Linotype" w:cs="Arial"/>
          <w:lang w:val="es-MX"/>
        </w:rPr>
      </w:pPr>
    </w:p>
    <w:p w:rsidR="00727BC7" w:rsidRPr="00AE7573" w:rsidRDefault="00727BC7" w:rsidP="00894C9C">
      <w:pPr>
        <w:spacing w:after="0" w:line="360" w:lineRule="auto"/>
        <w:jc w:val="both"/>
        <w:rPr>
          <w:rFonts w:ascii="Palatino Linotype" w:hAnsi="Palatino Linotype" w:cs="Arial"/>
          <w:lang w:val="es-MX"/>
        </w:rPr>
      </w:pPr>
      <w:r w:rsidRPr="00AE7573">
        <w:rPr>
          <w:rFonts w:ascii="Palatino Linotype" w:hAnsi="Palatino Linotype" w:cs="Arial"/>
          <w:lang w:val="es-MX"/>
        </w:rPr>
        <w:t xml:space="preserve">Además, se advierte que </w:t>
      </w:r>
      <w:r w:rsidR="005B42A1">
        <w:rPr>
          <w:rFonts w:ascii="Palatino Linotype" w:hAnsi="Palatino Linotype" w:cs="Arial"/>
          <w:lang w:val="es-MX"/>
        </w:rPr>
        <w:t xml:space="preserve">los documentos en comento, </w:t>
      </w:r>
      <w:r w:rsidRPr="00AE7573">
        <w:rPr>
          <w:rFonts w:ascii="Palatino Linotype" w:hAnsi="Palatino Linotype" w:cs="Arial"/>
          <w:lang w:val="es-MX"/>
        </w:rPr>
        <w:t>contiene</w:t>
      </w:r>
      <w:r w:rsidR="005B42A1">
        <w:rPr>
          <w:rFonts w:ascii="Palatino Linotype" w:hAnsi="Palatino Linotype" w:cs="Arial"/>
          <w:lang w:val="es-MX"/>
        </w:rPr>
        <w:t>n</w:t>
      </w:r>
      <w:r w:rsidRPr="00AE7573">
        <w:rPr>
          <w:rFonts w:ascii="Palatino Linotype" w:hAnsi="Palatino Linotype" w:cs="Arial"/>
          <w:lang w:val="es-MX"/>
        </w:rPr>
        <w:t xml:space="preserve"> el </w:t>
      </w:r>
      <w:r w:rsidRPr="00AE7573">
        <w:rPr>
          <w:rFonts w:ascii="Palatino Linotype" w:hAnsi="Palatino Linotype" w:cs="Arial"/>
          <w:b/>
          <w:lang w:val="es-MX"/>
        </w:rPr>
        <w:t>capital y las acciones</w:t>
      </w:r>
      <w:r w:rsidRPr="00AE7573">
        <w:rPr>
          <w:rFonts w:ascii="Palatino Linotype" w:hAnsi="Palatino Linotype" w:cs="Arial"/>
          <w:lang w:val="es-MX"/>
        </w:rPr>
        <w:t>, datos que conforman parte de la propiedad de la sociedad</w:t>
      </w:r>
      <w:r w:rsidR="00AE7573" w:rsidRPr="00AE7573">
        <w:rPr>
          <w:rFonts w:ascii="Palatino Linotype" w:hAnsi="Palatino Linotype" w:cs="Arial"/>
          <w:lang w:val="es-MX"/>
        </w:rPr>
        <w:t xml:space="preserve">, por lo que, hacer del conocimiento al público sobre dicho dato, </w:t>
      </w:r>
      <w:r w:rsidR="005B42A1">
        <w:rPr>
          <w:rFonts w:ascii="Palatino Linotype" w:hAnsi="Palatino Linotype" w:cs="Arial"/>
          <w:lang w:val="es-MX"/>
        </w:rPr>
        <w:t>se revelaría información de carácter patrimonial de la empresa, que no guarda relación con el ejercicio público de recursos o ejercicio de atribuciones de servidores públicos; esto además porque en ellos se precisa</w:t>
      </w:r>
      <w:r w:rsidR="005B42A1" w:rsidRPr="005B42A1">
        <w:rPr>
          <w:rFonts w:ascii="Palatino Linotype" w:hAnsi="Palatino Linotype" w:cs="Arial"/>
          <w:lang w:val="es-MX"/>
        </w:rPr>
        <w:t xml:space="preserve"> </w:t>
      </w:r>
      <w:r w:rsidR="005B42A1" w:rsidRPr="00AE7573">
        <w:rPr>
          <w:rFonts w:ascii="Palatino Linotype" w:hAnsi="Palatino Linotype" w:cs="Arial"/>
          <w:lang w:val="es-MX"/>
        </w:rPr>
        <w:t xml:space="preserve">el </w:t>
      </w:r>
      <w:r w:rsidR="005B42A1" w:rsidRPr="00AE7573">
        <w:rPr>
          <w:rFonts w:ascii="Palatino Linotype" w:hAnsi="Palatino Linotype" w:cs="Arial"/>
          <w:b/>
          <w:lang w:val="es-MX"/>
        </w:rPr>
        <w:t>monto de</w:t>
      </w:r>
      <w:r w:rsidR="005B42A1">
        <w:rPr>
          <w:rFonts w:ascii="Palatino Linotype" w:hAnsi="Palatino Linotype" w:cs="Arial"/>
          <w:b/>
          <w:lang w:val="es-MX"/>
        </w:rPr>
        <w:t>l</w:t>
      </w:r>
      <w:r w:rsidR="005B42A1" w:rsidRPr="00AE7573">
        <w:rPr>
          <w:rFonts w:ascii="Palatino Linotype" w:hAnsi="Palatino Linotype" w:cs="Arial"/>
          <w:b/>
          <w:lang w:val="es-MX"/>
        </w:rPr>
        <w:t xml:space="preserve"> capital social, </w:t>
      </w:r>
      <w:r w:rsidR="005B42A1">
        <w:rPr>
          <w:rFonts w:ascii="Palatino Linotype" w:hAnsi="Palatino Linotype" w:cs="Arial"/>
          <w:lang w:val="es-MX"/>
        </w:rPr>
        <w:t>que es</w:t>
      </w:r>
      <w:r w:rsidR="005B42A1" w:rsidRPr="00AE7573">
        <w:rPr>
          <w:rFonts w:ascii="Palatino Linotype" w:hAnsi="Palatino Linotype" w:cs="Arial"/>
          <w:lang w:val="es-MX"/>
        </w:rPr>
        <w:t xml:space="preserve"> el valor de los bienes o el dinero que los socios de una empresa a</w:t>
      </w:r>
      <w:r w:rsidR="005B42A1">
        <w:rPr>
          <w:rFonts w:ascii="Palatino Linotype" w:hAnsi="Palatino Linotype" w:cs="Arial"/>
          <w:lang w:val="es-MX"/>
        </w:rPr>
        <w:t xml:space="preserve">portan sin derecho a devolución, por lo que se trata de información que actualiza el supuesto de clasificación establecido en el artículo </w:t>
      </w:r>
      <w:r w:rsidR="00AE7573" w:rsidRPr="00AE7573">
        <w:rPr>
          <w:rFonts w:ascii="Palatino Linotype" w:hAnsi="Palatino Linotype" w:cs="Arial"/>
          <w:lang w:val="es-MX"/>
        </w:rPr>
        <w:t>143, fracción I</w:t>
      </w:r>
      <w:r w:rsidR="005B42A1">
        <w:rPr>
          <w:rFonts w:ascii="Palatino Linotype" w:hAnsi="Palatino Linotype" w:cs="Arial"/>
          <w:lang w:val="es-MX"/>
        </w:rPr>
        <w:t>,</w:t>
      </w:r>
      <w:r w:rsidR="00AE7573" w:rsidRPr="00AE7573">
        <w:rPr>
          <w:rFonts w:ascii="Palatino Linotype" w:hAnsi="Palatino Linotype" w:cs="Arial"/>
          <w:lang w:val="es-MX"/>
        </w:rPr>
        <w:t xml:space="preserve"> </w:t>
      </w:r>
      <w:r w:rsidR="005B42A1">
        <w:rPr>
          <w:rFonts w:ascii="Palatino Linotype" w:hAnsi="Palatino Linotype" w:cs="Arial"/>
          <w:lang w:val="es-MX"/>
        </w:rPr>
        <w:t>de la Ley de Transparencia y Acceso a la Información Pública del Estado de México y Municipios.</w:t>
      </w:r>
    </w:p>
    <w:p w:rsidR="00AE7573" w:rsidRPr="00AE7573" w:rsidRDefault="00AE7573" w:rsidP="00894C9C">
      <w:pPr>
        <w:spacing w:after="0" w:line="360" w:lineRule="auto"/>
        <w:jc w:val="both"/>
        <w:rPr>
          <w:rFonts w:ascii="Palatino Linotype" w:hAnsi="Palatino Linotype" w:cs="Arial"/>
          <w:lang w:val="es-MX"/>
        </w:rPr>
      </w:pPr>
    </w:p>
    <w:p w:rsidR="00AE7573" w:rsidRPr="00AE7573" w:rsidRDefault="00AE7573" w:rsidP="00894C9C">
      <w:pPr>
        <w:spacing w:after="0" w:line="360" w:lineRule="auto"/>
        <w:jc w:val="both"/>
        <w:rPr>
          <w:rFonts w:ascii="Palatino Linotype" w:hAnsi="Palatino Linotype" w:cs="Arial"/>
          <w:lang w:val="es-MX"/>
        </w:rPr>
      </w:pPr>
      <w:r w:rsidRPr="00AE7573">
        <w:rPr>
          <w:rFonts w:ascii="Palatino Linotype" w:hAnsi="Palatino Linotype" w:cs="Arial"/>
          <w:lang w:val="es-MX"/>
        </w:rPr>
        <w:t xml:space="preserve">Finalmente, los datos referentes </w:t>
      </w:r>
      <w:r w:rsidRPr="00AE7573">
        <w:rPr>
          <w:rFonts w:ascii="Palatino Linotype" w:hAnsi="Palatino Linotype" w:cs="Arial"/>
          <w:b/>
          <w:lang w:val="es-MX"/>
        </w:rPr>
        <w:t xml:space="preserve">a las aportaciones económicas de los miembros de la sociedad, </w:t>
      </w:r>
      <w:r w:rsidRPr="00AE7573">
        <w:rPr>
          <w:rFonts w:ascii="Palatino Linotype" w:hAnsi="Palatino Linotype" w:cs="Arial"/>
          <w:lang w:val="es-MX"/>
        </w:rPr>
        <w:t>es información privada de las personas que conforman la sociedad, pues corresponden a las cantidades que otorgan los miembros de una empresa o sociedad para su constitución, en términos del artículo 143, fracción I de la Ley de la materia.</w:t>
      </w:r>
    </w:p>
    <w:p w:rsidR="00AE7573" w:rsidRPr="00AE7573" w:rsidRDefault="00AE7573" w:rsidP="00894C9C">
      <w:pPr>
        <w:spacing w:after="0" w:line="360" w:lineRule="auto"/>
        <w:jc w:val="both"/>
        <w:rPr>
          <w:rFonts w:ascii="Palatino Linotype" w:hAnsi="Palatino Linotype" w:cs="Arial"/>
          <w:lang w:val="es-MX"/>
        </w:rPr>
      </w:pPr>
    </w:p>
    <w:p w:rsidR="00CA42CC" w:rsidRDefault="00CA42CC" w:rsidP="00894C9C">
      <w:pPr>
        <w:spacing w:after="0" w:line="360" w:lineRule="auto"/>
        <w:jc w:val="both"/>
        <w:rPr>
          <w:rFonts w:ascii="Palatino Linotype" w:hAnsi="Palatino Linotype" w:cs="Arial"/>
          <w:lang w:val="es-MX"/>
        </w:rPr>
      </w:pPr>
    </w:p>
    <w:p w:rsidR="00EE4DC1" w:rsidRDefault="00EE4DC1" w:rsidP="00894C9C">
      <w:pPr>
        <w:spacing w:after="0" w:line="360" w:lineRule="auto"/>
        <w:jc w:val="both"/>
        <w:rPr>
          <w:rFonts w:ascii="Palatino Linotype" w:hAnsi="Palatino Linotype" w:cs="Arial"/>
          <w:lang w:val="es-MX"/>
        </w:rPr>
      </w:pPr>
    </w:p>
    <w:p w:rsidR="00AE7573" w:rsidRPr="00AE7573" w:rsidRDefault="00AE7573" w:rsidP="00894C9C">
      <w:pPr>
        <w:spacing w:after="0" w:line="360" w:lineRule="auto"/>
        <w:jc w:val="both"/>
        <w:rPr>
          <w:rFonts w:ascii="Palatino Linotype" w:hAnsi="Palatino Linotype" w:cs="Arial"/>
          <w:lang w:val="es-MX"/>
        </w:rPr>
      </w:pPr>
      <w:r>
        <w:rPr>
          <w:rFonts w:ascii="Palatino Linotype" w:hAnsi="Palatino Linotype" w:cs="Arial"/>
          <w:lang w:val="es-MX"/>
        </w:rPr>
        <w:t xml:space="preserve">Por tales circunstancias, consideró que en el presente caso procedía la entrega en versión pública </w:t>
      </w:r>
      <w:r w:rsidR="00FC00ED">
        <w:rPr>
          <w:rFonts w:ascii="Palatino Linotype" w:hAnsi="Palatino Linotype" w:cs="Arial"/>
          <w:lang w:val="es-MX"/>
        </w:rPr>
        <w:t xml:space="preserve">de </w:t>
      </w:r>
      <w:r w:rsidR="00FC00ED" w:rsidRPr="00FC00ED">
        <w:rPr>
          <w:rFonts w:ascii="Palatino Linotype" w:hAnsi="Palatino Linotype" w:cs="Arial"/>
          <w:lang w:val="es-MX"/>
        </w:rPr>
        <w:t>las escrituras públicas sobre la constitución de una empresa inmobiliaria y la protocolización del acta de la asamblea general extraordinaria de accionistas de la misma empresa</w:t>
      </w:r>
      <w:r w:rsidR="00FC00ED">
        <w:rPr>
          <w:rFonts w:ascii="Palatino Linotype" w:hAnsi="Palatino Linotype" w:cs="Arial"/>
          <w:lang w:val="es-MX"/>
        </w:rPr>
        <w:t xml:space="preserve"> que obran en los expedientes localizados y no clasificarlos en su totalidad.</w:t>
      </w:r>
    </w:p>
    <w:p w:rsidR="00727BC7" w:rsidRPr="00AE7573" w:rsidRDefault="00727BC7" w:rsidP="00894C9C">
      <w:pPr>
        <w:spacing w:after="0" w:line="360" w:lineRule="auto"/>
        <w:jc w:val="both"/>
        <w:rPr>
          <w:rFonts w:ascii="Palatino Linotype" w:hAnsi="Palatino Linotype" w:cs="Arial"/>
          <w:lang w:val="es-MX"/>
        </w:rPr>
      </w:pPr>
    </w:p>
    <w:p w:rsidR="00741E70" w:rsidRPr="00AE7573" w:rsidRDefault="00741E70" w:rsidP="00894C9C">
      <w:pPr>
        <w:spacing w:after="0" w:line="360" w:lineRule="auto"/>
        <w:jc w:val="both"/>
        <w:rPr>
          <w:rFonts w:ascii="Palatino Linotype" w:hAnsi="Palatino Linotype" w:cs="Arial"/>
        </w:rPr>
      </w:pPr>
      <w:r w:rsidRPr="00AE7573">
        <w:rPr>
          <w:rFonts w:ascii="Palatino Linotype" w:hAnsi="Palatino Linotype" w:cs="Arial"/>
        </w:rPr>
        <w:t xml:space="preserve">Así, con base en los razonamientos expuestos, </w:t>
      </w:r>
      <w:r w:rsidRPr="00AE7573">
        <w:rPr>
          <w:rFonts w:ascii="Palatino Linotype" w:hAnsi="Palatino Linotype" w:cs="Arial"/>
          <w:b/>
        </w:rPr>
        <w:t>se emite el presente voto particular</w:t>
      </w:r>
      <w:r w:rsidRPr="00AE7573">
        <w:rPr>
          <w:rFonts w:ascii="Palatino Linotype" w:hAnsi="Palatino Linotype" w:cs="Arial"/>
        </w:rPr>
        <w:t>.</w:t>
      </w:r>
    </w:p>
    <w:p w:rsidR="00553ADE" w:rsidRPr="00170003" w:rsidRDefault="00553ADE" w:rsidP="00894C9C">
      <w:pPr>
        <w:spacing w:after="0" w:line="360" w:lineRule="auto"/>
        <w:jc w:val="both"/>
        <w:rPr>
          <w:rFonts w:ascii="Palatino Linotype" w:hAnsi="Palatino Linotype" w:cs="Tahoma"/>
          <w:sz w:val="24"/>
          <w:szCs w:val="24"/>
        </w:rPr>
      </w:pPr>
    </w:p>
    <w:p w:rsidR="00553ADE" w:rsidRPr="00170003" w:rsidRDefault="00553ADE" w:rsidP="00894C9C">
      <w:pPr>
        <w:spacing w:after="0" w:line="360" w:lineRule="auto"/>
        <w:jc w:val="center"/>
        <w:rPr>
          <w:rFonts w:ascii="Palatino Linotype" w:hAnsi="Palatino Linotype" w:cs="Tahoma"/>
          <w:b/>
          <w:sz w:val="24"/>
          <w:szCs w:val="24"/>
        </w:rPr>
      </w:pPr>
      <w:r w:rsidRPr="00170003">
        <w:rPr>
          <w:rFonts w:ascii="Palatino Linotype" w:hAnsi="Palatino Linotype" w:cs="Tahoma"/>
          <w:b/>
          <w:sz w:val="24"/>
          <w:szCs w:val="24"/>
        </w:rPr>
        <w:t>Luis Gustavo Parra Noriega</w:t>
      </w:r>
    </w:p>
    <w:p w:rsidR="003512C9" w:rsidRDefault="00553ADE" w:rsidP="00894C9C">
      <w:pPr>
        <w:spacing w:after="0" w:line="360" w:lineRule="auto"/>
        <w:jc w:val="center"/>
        <w:rPr>
          <w:rFonts w:ascii="Palatino Linotype" w:hAnsi="Palatino Linotype" w:cs="Tahoma"/>
          <w:sz w:val="24"/>
          <w:szCs w:val="24"/>
        </w:rPr>
      </w:pPr>
      <w:r w:rsidRPr="00170003">
        <w:rPr>
          <w:rFonts w:ascii="Palatino Linotype" w:hAnsi="Palatino Linotype" w:cs="Tahoma"/>
          <w:sz w:val="24"/>
          <w:szCs w:val="24"/>
        </w:rPr>
        <w:t>Comisionado</w:t>
      </w:r>
    </w:p>
    <w:p w:rsidR="00CA42CC" w:rsidRPr="00170003" w:rsidRDefault="00CA42CC" w:rsidP="00CA42CC">
      <w:pPr>
        <w:spacing w:after="0" w:line="360" w:lineRule="auto"/>
        <w:jc w:val="center"/>
        <w:rPr>
          <w:rFonts w:ascii="Palatino Linotype" w:hAnsi="Palatino Linotype" w:cs="Tahoma"/>
          <w:b/>
          <w:sz w:val="24"/>
          <w:szCs w:val="24"/>
        </w:rPr>
      </w:pPr>
      <w:r w:rsidRPr="00170003">
        <w:rPr>
          <w:rFonts w:ascii="Palatino Linotype" w:hAnsi="Palatino Linotype" w:cs="Tahoma"/>
          <w:b/>
          <w:sz w:val="24"/>
          <w:szCs w:val="24"/>
        </w:rPr>
        <w:t>(Rúbrica)</w:t>
      </w:r>
    </w:p>
    <w:p w:rsidR="00CA42CC" w:rsidRPr="00FC00ED" w:rsidRDefault="00CA42CC" w:rsidP="00894C9C">
      <w:pPr>
        <w:spacing w:after="0" w:line="360" w:lineRule="auto"/>
        <w:jc w:val="center"/>
        <w:rPr>
          <w:rFonts w:ascii="Palatino Linotype" w:hAnsi="Palatino Linotype" w:cs="Tahoma"/>
          <w:sz w:val="24"/>
          <w:szCs w:val="24"/>
        </w:rPr>
      </w:pPr>
    </w:p>
    <w:sectPr w:rsidR="00CA42CC" w:rsidRPr="00FC00ED"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7EC" w:rsidRDefault="002B27EC" w:rsidP="00EE29F6">
      <w:pPr>
        <w:spacing w:after="0" w:line="240" w:lineRule="auto"/>
      </w:pPr>
      <w:r>
        <w:separator/>
      </w:r>
    </w:p>
  </w:endnote>
  <w:endnote w:type="continuationSeparator" w:id="0">
    <w:p w:rsidR="002B27EC" w:rsidRDefault="002B27EC"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56403"/>
      <w:docPartObj>
        <w:docPartGallery w:val="Page Numbers (Bottom of Page)"/>
        <w:docPartUnique/>
      </w:docPartObj>
    </w:sdtPr>
    <w:sdtEndPr/>
    <w:sdtContent>
      <w:sdt>
        <w:sdtPr>
          <w:id w:val="1728636285"/>
          <w:docPartObj>
            <w:docPartGallery w:val="Page Numbers (Top of Page)"/>
            <w:docPartUnique/>
          </w:docPartObj>
        </w:sdtPr>
        <w:sdtEndPr/>
        <w:sdtContent>
          <w:p w:rsidR="00EE4DC1" w:rsidRDefault="00EE4DC1">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A7455">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A7455">
              <w:rPr>
                <w:b/>
                <w:bCs/>
                <w:noProof/>
              </w:rPr>
              <w:t>6</w:t>
            </w:r>
            <w:r>
              <w:rPr>
                <w:b/>
                <w:bCs/>
                <w:sz w:val="24"/>
                <w:szCs w:val="24"/>
              </w:rPr>
              <w:fldChar w:fldCharType="end"/>
            </w:r>
          </w:p>
        </w:sdtContent>
      </w:sdt>
    </w:sdtContent>
  </w:sdt>
  <w:p w:rsidR="00EE4DC1" w:rsidRDefault="00EE4D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7EC" w:rsidRDefault="002B27EC" w:rsidP="00EE29F6">
      <w:pPr>
        <w:spacing w:after="0" w:line="240" w:lineRule="auto"/>
      </w:pPr>
      <w:r>
        <w:separator/>
      </w:r>
    </w:p>
  </w:footnote>
  <w:footnote w:type="continuationSeparator" w:id="0">
    <w:p w:rsidR="002B27EC" w:rsidRDefault="002B27EC"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FC00ED">
      <w:trPr>
        <w:trHeight w:val="1560"/>
      </w:trPr>
      <w:tc>
        <w:tcPr>
          <w:tcW w:w="2830" w:type="dxa"/>
          <w:vAlign w:val="bottom"/>
        </w:tcPr>
        <w:p w:rsidR="0077694E" w:rsidRDefault="0077694E" w:rsidP="00FC00ED">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tc>
      <w:tc>
        <w:tcPr>
          <w:tcW w:w="6237" w:type="dxa"/>
          <w:vAlign w:val="center"/>
        </w:tcPr>
        <w:p w:rsidR="00FC00ED" w:rsidRDefault="00FC00ED" w:rsidP="001106EA">
          <w:pPr>
            <w:pStyle w:val="Encabezado"/>
            <w:ind w:left="-108" w:right="-250"/>
            <w:jc w:val="both"/>
            <w:rPr>
              <w:rFonts w:ascii="Palatino Linotype" w:hAnsi="Palatino Linotype" w:cs="Tahoma"/>
              <w:b/>
              <w:sz w:val="24"/>
              <w:szCs w:val="24"/>
            </w:rPr>
          </w:pPr>
        </w:p>
        <w:p w:rsidR="001106EA" w:rsidRPr="00170003" w:rsidRDefault="001106EA" w:rsidP="00894C9C">
          <w:pPr>
            <w:pStyle w:val="Encabezado"/>
            <w:ind w:left="-108" w:right="28"/>
            <w:jc w:val="both"/>
            <w:rPr>
              <w:rFonts w:ascii="Palatino Linotype" w:hAnsi="Palatino Linotype" w:cs="Tahoma"/>
              <w:b/>
              <w:sz w:val="24"/>
              <w:szCs w:val="24"/>
            </w:rPr>
          </w:pPr>
          <w:r w:rsidRPr="00170003">
            <w:rPr>
              <w:rFonts w:ascii="Palatino Linotype" w:hAnsi="Palatino Linotype" w:cs="Tahoma"/>
              <w:b/>
              <w:sz w:val="24"/>
              <w:szCs w:val="24"/>
            </w:rPr>
            <w:t>Voto Particular</w:t>
          </w:r>
        </w:p>
        <w:p w:rsidR="0077694E" w:rsidRDefault="001106EA" w:rsidP="00894C9C">
          <w:pPr>
            <w:pStyle w:val="Encabezado"/>
            <w:ind w:left="-108" w:right="28"/>
            <w:jc w:val="both"/>
            <w:rPr>
              <w:rFonts w:ascii="Palatino Linotype" w:hAnsi="Palatino Linotype" w:cs="Tahoma"/>
              <w:b/>
              <w:sz w:val="24"/>
              <w:szCs w:val="24"/>
              <w:lang w:val="es-ES_tradnl"/>
            </w:rPr>
          </w:pPr>
          <w:r w:rsidRPr="00170003">
            <w:rPr>
              <w:rFonts w:ascii="Palatino Linotype" w:hAnsi="Palatino Linotype" w:cs="Tahoma"/>
              <w:b/>
              <w:sz w:val="24"/>
              <w:szCs w:val="24"/>
            </w:rPr>
            <w:t xml:space="preserve">Recurso de Revisión: </w:t>
          </w:r>
          <w:r w:rsidR="0093196F" w:rsidRPr="0093196F">
            <w:rPr>
              <w:rFonts w:ascii="Palatino Linotype" w:hAnsi="Palatino Linotype" w:cs="Tahoma"/>
              <w:b/>
              <w:sz w:val="24"/>
              <w:szCs w:val="24"/>
              <w:lang w:val="es-ES_tradnl"/>
            </w:rPr>
            <w:t>03429/INFOEM/IP/RR/2018</w:t>
          </w:r>
        </w:p>
        <w:p w:rsidR="00894C9C" w:rsidRPr="00170003" w:rsidRDefault="00894C9C" w:rsidP="00894C9C">
          <w:pPr>
            <w:pStyle w:val="Encabezado"/>
            <w:ind w:left="-108" w:right="28"/>
            <w:jc w:val="both"/>
            <w:rPr>
              <w:rFonts w:ascii="Palatino Linotype" w:hAnsi="Palatino Linotype" w:cs="Tahoma"/>
              <w:b/>
              <w:sz w:val="24"/>
              <w:szCs w:val="24"/>
            </w:rPr>
          </w:pPr>
          <w:r>
            <w:rPr>
              <w:rFonts w:ascii="Palatino Linotype" w:hAnsi="Palatino Linotype" w:cs="Tahoma"/>
              <w:b/>
              <w:sz w:val="24"/>
              <w:szCs w:val="24"/>
              <w:lang w:val="es-ES_tradnl"/>
            </w:rPr>
            <w:t xml:space="preserve">Sujeto Obligado: </w:t>
          </w:r>
          <w:r w:rsidRPr="00894C9C">
            <w:rPr>
              <w:rFonts w:ascii="Palatino Linotype" w:hAnsi="Palatino Linotype" w:cs="Tahoma"/>
              <w:b/>
              <w:sz w:val="24"/>
              <w:szCs w:val="24"/>
              <w:lang w:val="es-ES_tradnl"/>
            </w:rPr>
            <w:t>Comisión del Agua del Estado de México</w:t>
          </w:r>
        </w:p>
        <w:p w:rsidR="0081690C" w:rsidRPr="0077488C" w:rsidRDefault="0081690C" w:rsidP="00894C9C">
          <w:pPr>
            <w:pStyle w:val="Encabezado"/>
            <w:ind w:left="-108" w:right="28"/>
            <w:jc w:val="both"/>
            <w:rPr>
              <w:rFonts w:ascii="Palatino Linotype" w:hAnsi="Palatino Linotype" w:cs="Tahoma"/>
            </w:rPr>
          </w:pPr>
          <w:r w:rsidRPr="00170003">
            <w:rPr>
              <w:rFonts w:ascii="Palatino Linotype" w:hAnsi="Palatino Linotype" w:cs="Tahoma"/>
              <w:b/>
              <w:sz w:val="24"/>
              <w:szCs w:val="24"/>
            </w:rPr>
            <w:t>Comisionad</w:t>
          </w:r>
          <w:r w:rsidR="0093196F">
            <w:rPr>
              <w:rFonts w:ascii="Palatino Linotype" w:hAnsi="Palatino Linotype" w:cs="Tahoma"/>
              <w:b/>
              <w:sz w:val="24"/>
              <w:szCs w:val="24"/>
            </w:rPr>
            <w:t>o</w:t>
          </w:r>
          <w:r w:rsidRPr="00170003">
            <w:rPr>
              <w:rFonts w:ascii="Palatino Linotype" w:hAnsi="Palatino Linotype" w:cs="Tahoma"/>
              <w:b/>
              <w:sz w:val="24"/>
              <w:szCs w:val="24"/>
            </w:rPr>
            <w:t xml:space="preserve"> Ponente: </w:t>
          </w:r>
          <w:r w:rsidR="0093196F" w:rsidRPr="0093196F">
            <w:rPr>
              <w:rFonts w:ascii="Palatino Linotype" w:hAnsi="Palatino Linotype" w:cs="Tahoma"/>
              <w:b/>
              <w:sz w:val="24"/>
              <w:szCs w:val="24"/>
              <w:lang w:val="es-ES_tradnl"/>
            </w:rPr>
            <w:t>Javier Martínez Cruz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666CCB"/>
    <w:multiLevelType w:val="hybridMultilevel"/>
    <w:tmpl w:val="ED94E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8"/>
  </w:num>
  <w:num w:numId="6">
    <w:abstractNumId w:val="2"/>
  </w:num>
  <w:num w:numId="7">
    <w:abstractNumId w:val="6"/>
  </w:num>
  <w:num w:numId="8">
    <w:abstractNumId w:val="13"/>
  </w:num>
  <w:num w:numId="9">
    <w:abstractNumId w:val="9"/>
  </w:num>
  <w:num w:numId="10">
    <w:abstractNumId w:val="12"/>
  </w:num>
  <w:num w:numId="11">
    <w:abstractNumId w:val="5"/>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20D08"/>
    <w:rsid w:val="000301C6"/>
    <w:rsid w:val="00032450"/>
    <w:rsid w:val="00040DD1"/>
    <w:rsid w:val="00060F74"/>
    <w:rsid w:val="0006561A"/>
    <w:rsid w:val="00087AC8"/>
    <w:rsid w:val="00092DF2"/>
    <w:rsid w:val="000A0A27"/>
    <w:rsid w:val="000B235B"/>
    <w:rsid w:val="000B7F6F"/>
    <w:rsid w:val="000C10B7"/>
    <w:rsid w:val="000D186F"/>
    <w:rsid w:val="000E0463"/>
    <w:rsid w:val="001106EA"/>
    <w:rsid w:val="00113C9C"/>
    <w:rsid w:val="001159DC"/>
    <w:rsid w:val="00116E1A"/>
    <w:rsid w:val="00136AD8"/>
    <w:rsid w:val="00140A57"/>
    <w:rsid w:val="00141FFF"/>
    <w:rsid w:val="0014736A"/>
    <w:rsid w:val="00162325"/>
    <w:rsid w:val="00170003"/>
    <w:rsid w:val="00172FA3"/>
    <w:rsid w:val="0018472D"/>
    <w:rsid w:val="00193AA8"/>
    <w:rsid w:val="001A145C"/>
    <w:rsid w:val="001C1C64"/>
    <w:rsid w:val="001C714F"/>
    <w:rsid w:val="00202FF5"/>
    <w:rsid w:val="00210479"/>
    <w:rsid w:val="00217CF5"/>
    <w:rsid w:val="00231B68"/>
    <w:rsid w:val="00243A13"/>
    <w:rsid w:val="0028037C"/>
    <w:rsid w:val="002847C7"/>
    <w:rsid w:val="002A1727"/>
    <w:rsid w:val="002A2EE7"/>
    <w:rsid w:val="002B27EC"/>
    <w:rsid w:val="002B4CE6"/>
    <w:rsid w:val="002C2405"/>
    <w:rsid w:val="002D3AA1"/>
    <w:rsid w:val="002E5A1A"/>
    <w:rsid w:val="003512C9"/>
    <w:rsid w:val="0037237D"/>
    <w:rsid w:val="00373410"/>
    <w:rsid w:val="003A10D0"/>
    <w:rsid w:val="003A71C0"/>
    <w:rsid w:val="003B6547"/>
    <w:rsid w:val="003B7A5E"/>
    <w:rsid w:val="003C3A8C"/>
    <w:rsid w:val="003E698F"/>
    <w:rsid w:val="003F2426"/>
    <w:rsid w:val="0040139C"/>
    <w:rsid w:val="004211BB"/>
    <w:rsid w:val="00424CE5"/>
    <w:rsid w:val="00433746"/>
    <w:rsid w:val="00434C88"/>
    <w:rsid w:val="00435E69"/>
    <w:rsid w:val="00445BDF"/>
    <w:rsid w:val="00490F50"/>
    <w:rsid w:val="004A4555"/>
    <w:rsid w:val="004A7455"/>
    <w:rsid w:val="004B2EE2"/>
    <w:rsid w:val="004B541F"/>
    <w:rsid w:val="004B5C9A"/>
    <w:rsid w:val="004C4912"/>
    <w:rsid w:val="004E7007"/>
    <w:rsid w:val="004F350F"/>
    <w:rsid w:val="00524DA5"/>
    <w:rsid w:val="00542CB5"/>
    <w:rsid w:val="00544812"/>
    <w:rsid w:val="00553ADE"/>
    <w:rsid w:val="0056120D"/>
    <w:rsid w:val="00582CCB"/>
    <w:rsid w:val="00584D73"/>
    <w:rsid w:val="0059329D"/>
    <w:rsid w:val="005A2510"/>
    <w:rsid w:val="005B4018"/>
    <w:rsid w:val="005B42A1"/>
    <w:rsid w:val="005C094E"/>
    <w:rsid w:val="005C73EE"/>
    <w:rsid w:val="005D11C8"/>
    <w:rsid w:val="005E2798"/>
    <w:rsid w:val="005F30B7"/>
    <w:rsid w:val="005F3B38"/>
    <w:rsid w:val="00605683"/>
    <w:rsid w:val="006248F2"/>
    <w:rsid w:val="006449B9"/>
    <w:rsid w:val="00645087"/>
    <w:rsid w:val="00654ACD"/>
    <w:rsid w:val="00680B30"/>
    <w:rsid w:val="00682003"/>
    <w:rsid w:val="00684B16"/>
    <w:rsid w:val="00691CB4"/>
    <w:rsid w:val="00695913"/>
    <w:rsid w:val="006E2ED0"/>
    <w:rsid w:val="006F5316"/>
    <w:rsid w:val="00724F08"/>
    <w:rsid w:val="00727BC7"/>
    <w:rsid w:val="00731E19"/>
    <w:rsid w:val="007378E2"/>
    <w:rsid w:val="00741E70"/>
    <w:rsid w:val="00742A15"/>
    <w:rsid w:val="0077488C"/>
    <w:rsid w:val="0077694E"/>
    <w:rsid w:val="007A18DC"/>
    <w:rsid w:val="007A236B"/>
    <w:rsid w:val="007A2D13"/>
    <w:rsid w:val="007D30ED"/>
    <w:rsid w:val="007D3257"/>
    <w:rsid w:val="007E0174"/>
    <w:rsid w:val="007F1C1D"/>
    <w:rsid w:val="007F7D80"/>
    <w:rsid w:val="0081690C"/>
    <w:rsid w:val="00836BC2"/>
    <w:rsid w:val="00861757"/>
    <w:rsid w:val="00865F2E"/>
    <w:rsid w:val="00894C9C"/>
    <w:rsid w:val="008A3DA9"/>
    <w:rsid w:val="008B08C9"/>
    <w:rsid w:val="00906D44"/>
    <w:rsid w:val="00922B2E"/>
    <w:rsid w:val="00927BD1"/>
    <w:rsid w:val="00927FD1"/>
    <w:rsid w:val="0093196F"/>
    <w:rsid w:val="00950355"/>
    <w:rsid w:val="00957FF3"/>
    <w:rsid w:val="00974836"/>
    <w:rsid w:val="009943E1"/>
    <w:rsid w:val="009B2C0B"/>
    <w:rsid w:val="009D07E2"/>
    <w:rsid w:val="009D14D2"/>
    <w:rsid w:val="009D49BE"/>
    <w:rsid w:val="009E41F7"/>
    <w:rsid w:val="009F6181"/>
    <w:rsid w:val="00A12A9A"/>
    <w:rsid w:val="00A13BE9"/>
    <w:rsid w:val="00A34659"/>
    <w:rsid w:val="00A364BA"/>
    <w:rsid w:val="00A5061A"/>
    <w:rsid w:val="00A63A51"/>
    <w:rsid w:val="00A87924"/>
    <w:rsid w:val="00AA090B"/>
    <w:rsid w:val="00AE7573"/>
    <w:rsid w:val="00AF3B6B"/>
    <w:rsid w:val="00B263C5"/>
    <w:rsid w:val="00B53028"/>
    <w:rsid w:val="00B61D0B"/>
    <w:rsid w:val="00B67355"/>
    <w:rsid w:val="00B7393F"/>
    <w:rsid w:val="00B761B1"/>
    <w:rsid w:val="00BB6EE3"/>
    <w:rsid w:val="00BC4882"/>
    <w:rsid w:val="00BC6D84"/>
    <w:rsid w:val="00BD4705"/>
    <w:rsid w:val="00BD5DBE"/>
    <w:rsid w:val="00BD6DB9"/>
    <w:rsid w:val="00C03E23"/>
    <w:rsid w:val="00C30FD6"/>
    <w:rsid w:val="00C44CA4"/>
    <w:rsid w:val="00C55FFC"/>
    <w:rsid w:val="00C75CE0"/>
    <w:rsid w:val="00CA050D"/>
    <w:rsid w:val="00CA2787"/>
    <w:rsid w:val="00CA2EF1"/>
    <w:rsid w:val="00CA42CC"/>
    <w:rsid w:val="00CA7627"/>
    <w:rsid w:val="00CE50F9"/>
    <w:rsid w:val="00CF6078"/>
    <w:rsid w:val="00D02E86"/>
    <w:rsid w:val="00D05740"/>
    <w:rsid w:val="00D13875"/>
    <w:rsid w:val="00D160F2"/>
    <w:rsid w:val="00D368B3"/>
    <w:rsid w:val="00D51426"/>
    <w:rsid w:val="00D55429"/>
    <w:rsid w:val="00D65D0C"/>
    <w:rsid w:val="00D666D4"/>
    <w:rsid w:val="00D7239D"/>
    <w:rsid w:val="00D75FAE"/>
    <w:rsid w:val="00D77F63"/>
    <w:rsid w:val="00D9114A"/>
    <w:rsid w:val="00D9210C"/>
    <w:rsid w:val="00DA11C0"/>
    <w:rsid w:val="00DC26CE"/>
    <w:rsid w:val="00E145E1"/>
    <w:rsid w:val="00E22CDE"/>
    <w:rsid w:val="00E26123"/>
    <w:rsid w:val="00E3399E"/>
    <w:rsid w:val="00E34559"/>
    <w:rsid w:val="00E41481"/>
    <w:rsid w:val="00E416F8"/>
    <w:rsid w:val="00E6596A"/>
    <w:rsid w:val="00E82F77"/>
    <w:rsid w:val="00E83683"/>
    <w:rsid w:val="00E93B0A"/>
    <w:rsid w:val="00EB6B98"/>
    <w:rsid w:val="00EB7128"/>
    <w:rsid w:val="00EE18E8"/>
    <w:rsid w:val="00EE29F6"/>
    <w:rsid w:val="00EE4DC1"/>
    <w:rsid w:val="00F0484C"/>
    <w:rsid w:val="00F14384"/>
    <w:rsid w:val="00F17315"/>
    <w:rsid w:val="00F57797"/>
    <w:rsid w:val="00F8595A"/>
    <w:rsid w:val="00F94DFB"/>
    <w:rsid w:val="00FA7B69"/>
    <w:rsid w:val="00FB3044"/>
    <w:rsid w:val="00FC00ED"/>
    <w:rsid w:val="00FC1D9D"/>
    <w:rsid w:val="00FD1849"/>
    <w:rsid w:val="00FD3150"/>
    <w:rsid w:val="00FD530D"/>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BB0D7C-0352-49D3-9D08-15DB3F46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96A"/>
  </w:style>
  <w:style w:type="paragraph" w:styleId="Ttulo1">
    <w:name w:val="heading 1"/>
    <w:basedOn w:val="Normal"/>
    <w:next w:val="Normal"/>
    <w:link w:val="Ttulo1Car"/>
    <w:uiPriority w:val="9"/>
    <w:qFormat/>
    <w:rsid w:val="007E0174"/>
    <w:pPr>
      <w:keepNext/>
      <w:keepLines/>
      <w:spacing w:before="240" w:after="0"/>
      <w:outlineLvl w:val="0"/>
    </w:pPr>
    <w:rPr>
      <w:rFonts w:ascii="Palatino Linotype" w:eastAsiaTheme="majorEastAsia" w:hAnsi="Palatino Linotype" w:cstheme="majorBidi"/>
      <w:b/>
      <w:sz w:val="24"/>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0DD1"/>
  </w:style>
  <w:style w:type="character" w:customStyle="1" w:styleId="Ttulo1Car">
    <w:name w:val="Título 1 Car"/>
    <w:basedOn w:val="Fuentedeprrafopredeter"/>
    <w:link w:val="Ttulo1"/>
    <w:uiPriority w:val="9"/>
    <w:rsid w:val="007E0174"/>
    <w:rPr>
      <w:rFonts w:ascii="Palatino Linotype" w:eastAsiaTheme="majorEastAsia" w:hAnsi="Palatino Linotype" w:cstheme="majorBidi"/>
      <w:b/>
      <w:sz w:val="24"/>
      <w:szCs w:val="3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7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E4423-79A0-4AD4-9A25-67C196BF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1483</Words>
  <Characters>8158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8</cp:revision>
  <cp:lastPrinted>2018-09-17T20:45:00Z</cp:lastPrinted>
  <dcterms:created xsi:type="dcterms:W3CDTF">2018-11-09T21:58:00Z</dcterms:created>
  <dcterms:modified xsi:type="dcterms:W3CDTF">2018-11-09T23:45:00Z</dcterms:modified>
</cp:coreProperties>
</file>